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5E0" w:rsidRDefault="00AA4AAA">
      <w:r>
        <w:rPr>
          <w:noProof/>
        </w:rPr>
        <mc:AlternateContent>
          <mc:Choice Requires="wps">
            <w:drawing>
              <wp:anchor distT="45720" distB="45720" distL="114300" distR="114300" simplePos="0" relativeHeight="251673600" behindDoc="0" locked="0" layoutInCell="1" allowOverlap="1">
                <wp:simplePos x="0" y="0"/>
                <wp:positionH relativeFrom="column">
                  <wp:posOffset>2266950</wp:posOffset>
                </wp:positionH>
                <wp:positionV relativeFrom="paragraph">
                  <wp:posOffset>666750</wp:posOffset>
                </wp:positionV>
                <wp:extent cx="3714750" cy="990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990600"/>
                        </a:xfrm>
                        <a:prstGeom prst="rect">
                          <a:avLst/>
                        </a:prstGeom>
                        <a:solidFill>
                          <a:srgbClr val="FFFFFF"/>
                        </a:solidFill>
                        <a:ln w="9525">
                          <a:noFill/>
                          <a:miter lim="800000"/>
                          <a:headEnd/>
                          <a:tailEnd/>
                        </a:ln>
                      </wps:spPr>
                      <wps:txbx>
                        <w:txbxContent>
                          <w:p w:rsidR="00B918E3" w:rsidRPr="00AA4AAA" w:rsidRDefault="00B918E3" w:rsidP="00A7185B">
                            <w:pPr>
                              <w:shd w:val="clear" w:color="auto" w:fill="FFFFFF" w:themeFill="background1"/>
                              <w:rPr>
                                <w:color w:val="4472C4" w:themeColor="accent1"/>
                                <w:sz w:val="48"/>
                                <w:szCs w:val="48"/>
                              </w:rPr>
                            </w:pPr>
                            <w:r w:rsidRPr="00AA4AAA">
                              <w:rPr>
                                <w:color w:val="4472C4" w:themeColor="accent1"/>
                                <w:sz w:val="48"/>
                                <w:szCs w:val="48"/>
                              </w:rPr>
                              <w:t>Public Safety Grant Administration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5pt;margin-top:52.5pt;width:292.5pt;height: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" stroked="f">
                <v:textbox>
                  <w:txbxContent>
                    <w:p w:rsidR="00B918E3" w:rsidRPr="00AA4AAA" w:rsidRDefault="00B918E3" w:rsidP="00A7185B">
                      <w:pPr>
                        <w:shd w:val="clear" w:color="auto" w:fill="FFFFFF" w:themeFill="background1"/>
                        <w:rPr>
                          <w:color w:val="4472C4" w:themeColor="accent1"/>
                          <w:sz w:val="48"/>
                          <w:szCs w:val="48"/>
                        </w:rPr>
                      </w:pPr>
                      <w:r w:rsidRPr="00AA4AAA">
                        <w:rPr>
                          <w:color w:val="4472C4" w:themeColor="accent1"/>
                          <w:sz w:val="48"/>
                          <w:szCs w:val="48"/>
                        </w:rPr>
                        <w:t>Public Safety Grant Administration Office</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2314575</wp:posOffset>
                </wp:positionH>
                <wp:positionV relativeFrom="paragraph">
                  <wp:posOffset>533400</wp:posOffset>
                </wp:positionV>
                <wp:extent cx="35242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5242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61EB3" id="Straight Connector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42pt" to="459.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" strokecolor="#4472c4 [3204]" strokeweight="2pt">
                <v:stroke joinstyle="miter"/>
              </v:line>
            </w:pict>
          </mc:Fallback>
        </mc:AlternateContent>
      </w:r>
      <w:r w:rsidR="00514090">
        <w:rPr>
          <w:noProof/>
        </w:rPr>
        <mc:AlternateContent>
          <mc:Choice Requires="wps">
            <w:drawing>
              <wp:anchor distT="45720" distB="45720" distL="114300" distR="114300" simplePos="0" relativeHeight="251671552" behindDoc="1" locked="0" layoutInCell="1" allowOverlap="1">
                <wp:simplePos x="0" y="0"/>
                <wp:positionH relativeFrom="column">
                  <wp:posOffset>-247650</wp:posOffset>
                </wp:positionH>
                <wp:positionV relativeFrom="paragraph">
                  <wp:posOffset>-342900</wp:posOffset>
                </wp:positionV>
                <wp:extent cx="6524625" cy="8677275"/>
                <wp:effectExtent l="19050" t="1905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8677275"/>
                        </a:xfrm>
                        <a:prstGeom prst="rect">
                          <a:avLst/>
                        </a:prstGeom>
                        <a:solidFill>
                          <a:srgbClr val="FFFFFF"/>
                        </a:solidFill>
                        <a:ln w="28575">
                          <a:solidFill>
                            <a:schemeClr val="accent1"/>
                          </a:solidFill>
                          <a:miter lim="800000"/>
                          <a:headEnd/>
                          <a:tailEnd/>
                        </a:ln>
                      </wps:spPr>
                      <wps:txbx>
                        <w:txbxContent>
                          <w:p w:rsidR="00B918E3" w:rsidRDefault="00B918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pt;margin-top:-27pt;width:513.75pt;height:683.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" strokecolor="#4472c4 [3204]" strokeweight="2.25pt">
                <v:textbox>
                  <w:txbxContent>
                    <w:p w:rsidR="00B918E3" w:rsidRDefault="00B918E3"/>
                  </w:txbxContent>
                </v:textbox>
              </v:shape>
            </w:pict>
          </mc:Fallback>
        </mc:AlternateContent>
      </w:r>
      <w:r w:rsidR="00E27AE0">
        <w:rPr>
          <w:noProof/>
        </w:rPr>
        <mc:AlternateContent>
          <mc:Choice Requires="wps">
            <w:drawing>
              <wp:anchor distT="45720" distB="45720" distL="114300" distR="114300" simplePos="0" relativeHeight="251663360" behindDoc="0" locked="0" layoutInCell="1" allowOverlap="1">
                <wp:simplePos x="0" y="0"/>
                <wp:positionH relativeFrom="column">
                  <wp:posOffset>2209800</wp:posOffset>
                </wp:positionH>
                <wp:positionV relativeFrom="paragraph">
                  <wp:posOffset>0</wp:posOffset>
                </wp:positionV>
                <wp:extent cx="3771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4620"/>
                        </a:xfrm>
                        <a:prstGeom prst="rect">
                          <a:avLst/>
                        </a:prstGeom>
                        <a:solidFill>
                          <a:srgbClr val="FFFFFF"/>
                        </a:solidFill>
                        <a:ln w="9525">
                          <a:noFill/>
                          <a:miter lim="800000"/>
                          <a:headEnd/>
                          <a:tailEnd/>
                        </a:ln>
                      </wps:spPr>
                      <wps:txbx>
                        <w:txbxContent>
                          <w:p w:rsidR="00B918E3" w:rsidRPr="00A90C34" w:rsidRDefault="00B918E3">
                            <w:pPr>
                              <w:rPr>
                                <w:b/>
                                <w:color w:val="4472C4" w:themeColor="accent1"/>
                                <w:sz w:val="52"/>
                                <w:szCs w:val="52"/>
                              </w:rPr>
                            </w:pPr>
                            <w:r w:rsidRPr="00A90C34">
                              <w:rPr>
                                <w:b/>
                                <w:color w:val="4472C4" w:themeColor="accent1"/>
                                <w:sz w:val="52"/>
                                <w:szCs w:val="52"/>
                              </w:rPr>
                              <w:t xml:space="preserve">The State of Rhode Island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74pt;margin-top:0;width:29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" stroked="f">
                <v:textbox style="mso-fit-shape-to-text:t">
                  <w:txbxContent>
                    <w:p w:rsidR="00B918E3" w:rsidRPr="00A90C34" w:rsidRDefault="00B918E3">
                      <w:pPr>
                        <w:rPr>
                          <w:b/>
                          <w:color w:val="4472C4" w:themeColor="accent1"/>
                          <w:sz w:val="52"/>
                          <w:szCs w:val="52"/>
                        </w:rPr>
                      </w:pPr>
                      <w:r w:rsidRPr="00A90C34">
                        <w:rPr>
                          <w:b/>
                          <w:color w:val="4472C4" w:themeColor="accent1"/>
                          <w:sz w:val="52"/>
                          <w:szCs w:val="52"/>
                        </w:rPr>
                        <w:t xml:space="preserve">The State of Rhode Island </w:t>
                      </w:r>
                    </w:p>
                  </w:txbxContent>
                </v:textbox>
                <w10:wrap type="square"/>
              </v:shape>
            </w:pict>
          </mc:Fallback>
        </mc:AlternateContent>
      </w:r>
      <w:r w:rsidR="00E27AE0">
        <w:rPr>
          <w:noProof/>
        </w:rPr>
        <w:drawing>
          <wp:inline distT="0" distB="0" distL="0" distR="0" wp14:anchorId="064377A4" wp14:editId="65517A8F">
            <wp:extent cx="1554480" cy="1554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pic:spPr>
                </pic:pic>
              </a:graphicData>
            </a:graphic>
          </wp:inline>
        </w:drawing>
      </w:r>
    </w:p>
    <w:sdt>
      <w:sdtPr>
        <w:id w:val="-893738538"/>
        <w:docPartObj>
          <w:docPartGallery w:val="Cover Pages"/>
          <w:docPartUnique/>
        </w:docPartObj>
      </w:sdtPr>
      <w:sdtEndPr>
        <w:rPr>
          <w:rFonts w:cstheme="minorHAnsi"/>
          <w:b/>
          <w:color w:val="4472C4" w:themeColor="accent1"/>
          <w:sz w:val="24"/>
          <w:szCs w:val="24"/>
          <w:u w:val="single"/>
        </w:rPr>
      </w:sdtEndPr>
      <w:sdtContent>
        <w:p w:rsidR="00FB148A" w:rsidRDefault="00D245E0">
          <w:r>
            <w:rPr>
              <w:noProof/>
            </w:rPr>
            <mc:AlternateContent>
              <mc:Choice Requires="wpg">
                <w:drawing>
                  <wp:anchor distT="0" distB="0" distL="228600" distR="228600" simplePos="0" relativeHeight="251665408" behindDoc="1" locked="0" layoutInCell="1" allowOverlap="1">
                    <wp:simplePos x="0" y="0"/>
                    <wp:positionH relativeFrom="margin">
                      <wp:posOffset>-142875</wp:posOffset>
                    </wp:positionH>
                    <wp:positionV relativeFrom="margin">
                      <wp:posOffset>1800225</wp:posOffset>
                    </wp:positionV>
                    <wp:extent cx="1828800" cy="605790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6057900"/>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18E3" w:rsidRDefault="00B918E3" w:rsidP="00A90C34">
                                  <w:pPr>
                                    <w:rPr>
                                      <w:color w:val="FFFFFF" w:themeColor="background1"/>
                                    </w:rPr>
                                  </w:pPr>
                                  <w:r>
                                    <w:rPr>
                                      <w:color w:val="FFFFFF" w:themeColor="background1"/>
                                    </w:rPr>
                                    <w:t xml:space="preserve">This manual is intended to inform new and existing </w:t>
                                  </w:r>
                                  <w:proofErr w:type="gramStart"/>
                                  <w:r>
                                    <w:rPr>
                                      <w:color w:val="FFFFFF" w:themeColor="background1"/>
                                    </w:rPr>
                                    <w:t>subrecipients  of</w:t>
                                  </w:r>
                                  <w:proofErr w:type="gramEnd"/>
                                  <w:r>
                                    <w:rPr>
                                      <w:color w:val="FFFFFF" w:themeColor="background1"/>
                                    </w:rPr>
                                    <w:t xml:space="preserve"> up</w:t>
                                  </w:r>
                                  <w:r w:rsidR="00DB0D32">
                                    <w:rPr>
                                      <w:color w:val="FFFFFF" w:themeColor="background1"/>
                                    </w:rPr>
                                    <w:t>-</w:t>
                                  </w:r>
                                  <w:r>
                                    <w:rPr>
                                      <w:color w:val="FFFFFF" w:themeColor="background1"/>
                                    </w:rPr>
                                    <w:t>to</w:t>
                                  </w:r>
                                  <w:r w:rsidR="00DB0D32">
                                    <w:rPr>
                                      <w:color w:val="FFFFFF" w:themeColor="background1"/>
                                    </w:rPr>
                                    <w:t>-</w:t>
                                  </w:r>
                                  <w:r>
                                    <w:rPr>
                                      <w:color w:val="FFFFFF" w:themeColor="background1"/>
                                    </w:rPr>
                                    <w:t>date requirements  regarding the VOCA program.</w:t>
                                  </w: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r>
                                    <w:rPr>
                                      <w:color w:val="FFFFFF" w:themeColor="background1"/>
                                    </w:rPr>
                                    <w:t>Version 1.0</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18E3" w:rsidRDefault="00B918E3">
                                  <w:pPr>
                                    <w:pStyle w:val="NoSpacing"/>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2019 edition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id="Group 201" o:spid="_x0000_s1029" style="position:absolute;margin-left:-11.25pt;margin-top:141.75pt;width:2in;height:477pt;z-index:-251651072;mso-width-percent:308;mso-wrap-distance-left:18pt;mso-wrap-distance-right:18pt;mso-position-horizontal-relative:margin;mso-position-vertical-relative:margin;mso-width-percent:308;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">
                    <v:rect id="Rectangle 202" o:spid="_x0000_s1030"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31"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rsidR="00B918E3" w:rsidRDefault="00B918E3" w:rsidP="00A90C34">
                            <w:pPr>
                              <w:rPr>
                                <w:color w:val="FFFFFF" w:themeColor="background1"/>
                              </w:rPr>
                            </w:pPr>
                            <w:r>
                              <w:rPr>
                                <w:color w:val="FFFFFF" w:themeColor="background1"/>
                              </w:rPr>
                              <w:t xml:space="preserve">This manual is intended to inform new and existing </w:t>
                            </w:r>
                            <w:proofErr w:type="gramStart"/>
                            <w:r>
                              <w:rPr>
                                <w:color w:val="FFFFFF" w:themeColor="background1"/>
                              </w:rPr>
                              <w:t>subrecipients  of</w:t>
                            </w:r>
                            <w:proofErr w:type="gramEnd"/>
                            <w:r>
                              <w:rPr>
                                <w:color w:val="FFFFFF" w:themeColor="background1"/>
                              </w:rPr>
                              <w:t xml:space="preserve"> up</w:t>
                            </w:r>
                            <w:r w:rsidR="00DB0D32">
                              <w:rPr>
                                <w:color w:val="FFFFFF" w:themeColor="background1"/>
                              </w:rPr>
                              <w:t>-</w:t>
                            </w:r>
                            <w:r>
                              <w:rPr>
                                <w:color w:val="FFFFFF" w:themeColor="background1"/>
                              </w:rPr>
                              <w:t>to</w:t>
                            </w:r>
                            <w:r w:rsidR="00DB0D32">
                              <w:rPr>
                                <w:color w:val="FFFFFF" w:themeColor="background1"/>
                              </w:rPr>
                              <w:t>-</w:t>
                            </w:r>
                            <w:r>
                              <w:rPr>
                                <w:color w:val="FFFFFF" w:themeColor="background1"/>
                              </w:rPr>
                              <w:t>date requirements  regarding the VOCA program.</w:t>
                            </w: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p>
                          <w:p w:rsidR="00B918E3" w:rsidRDefault="00B918E3" w:rsidP="00A90C34">
                            <w:pPr>
                              <w:rPr>
                                <w:color w:val="FFFFFF" w:themeColor="background1"/>
                              </w:rPr>
                            </w:pPr>
                            <w:r>
                              <w:rPr>
                                <w:color w:val="FFFFFF" w:themeColor="background1"/>
                              </w:rPr>
                              <w:t>Version 1.0</w:t>
                            </w:r>
                          </w:p>
                        </w:txbxContent>
                      </v:textbox>
                    </v:rect>
                    <v:shape id="Text Box 204" o:spid="_x0000_s1032"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B918E3" w:rsidRDefault="00B918E3">
                            <w:pPr>
                              <w:pStyle w:val="NoSpacing"/>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2019 edition</w:t>
                            </w:r>
                          </w:p>
                        </w:txbxContent>
                      </v:textbox>
                    </v:shape>
                    <w10:wrap type="square" anchorx="margin" anchory="margin"/>
                  </v:group>
                </w:pict>
              </mc:Fallback>
            </mc:AlternateContent>
          </w:r>
        </w:p>
        <w:p w:rsidR="00FB148A" w:rsidRDefault="00AA4AAA">
          <w:pPr>
            <w:rPr>
              <w:rFonts w:cstheme="minorHAnsi"/>
              <w:b/>
              <w:color w:val="4472C4" w:themeColor="accent1"/>
              <w:sz w:val="24"/>
              <w:szCs w:val="24"/>
              <w:u w:val="single"/>
            </w:rPr>
          </w:pPr>
          <w:r>
            <w:rPr>
              <w:noProof/>
            </w:rPr>
            <mc:AlternateContent>
              <mc:Choice Requires="wps">
                <w:drawing>
                  <wp:anchor distT="0" distB="0" distL="114300" distR="114300" simplePos="0" relativeHeight="251658240" behindDoc="0" locked="0" layoutInCell="1" allowOverlap="1">
                    <wp:simplePos x="0" y="0"/>
                    <wp:positionH relativeFrom="page">
                      <wp:posOffset>1266824</wp:posOffset>
                    </wp:positionH>
                    <wp:positionV relativeFrom="page">
                      <wp:posOffset>6229350</wp:posOffset>
                    </wp:positionV>
                    <wp:extent cx="6390005" cy="1958975"/>
                    <wp:effectExtent l="0" t="0" r="0" b="3175"/>
                    <wp:wrapSquare wrapText="bothSides"/>
                    <wp:docPr id="154" name="Text Box 154"/>
                    <wp:cNvGraphicFramePr/>
                    <a:graphic xmlns:a="http://schemas.openxmlformats.org/drawingml/2006/main">
                      <a:graphicData uri="http://schemas.microsoft.com/office/word/2010/wordprocessingShape">
                        <wps:wsp>
                          <wps:cNvSpPr txBox="1"/>
                          <wps:spPr>
                            <a:xfrm>
                              <a:off x="0" y="0"/>
                              <a:ext cx="6390005" cy="1958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18E3" w:rsidRDefault="00B918E3" w:rsidP="00A7185B">
                                <w:pPr>
                                  <w:jc w:val="right"/>
                                  <w:rPr>
                                    <w:color w:val="4472C4" w:themeColor="accent1"/>
                                    <w:sz w:val="64"/>
                                    <w:szCs w:val="64"/>
                                  </w:rPr>
                                </w:pPr>
                                <w:sdt>
                                  <w:sdtPr>
                                    <w:rPr>
                                      <w:caps/>
                                      <w:color w:val="4472C4" w:themeColor="accent1"/>
                                      <w:sz w:val="64"/>
                                      <w:szCs w:val="64"/>
                                    </w:rPr>
                                    <w:alias w:val="Title"/>
                                    <w:tag w:val=""/>
                                    <w:id w:val="-116847313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D245E0">
                                      <w:rPr>
                                        <w:caps/>
                                        <w:color w:val="4472C4" w:themeColor="accent1"/>
                                        <w:sz w:val="64"/>
                                        <w:szCs w:val="64"/>
                                      </w:rPr>
                                      <w:t>Victims of Crime Act</w:t>
                                    </w:r>
                                    <w:r>
                                      <w:rPr>
                                        <w:caps/>
                                        <w:color w:val="4472C4" w:themeColor="accent1"/>
                                        <w:sz w:val="64"/>
                                        <w:szCs w:val="64"/>
                                      </w:rPr>
                                      <w:br/>
                                    </w:r>
                                    <w:r>
                                      <w:rPr>
                                        <w:color w:val="4472C4" w:themeColor="accent1"/>
                                        <w:sz w:val="64"/>
                                        <w:szCs w:val="64"/>
                                      </w:rPr>
                                      <w:t>SUBGRANT MANUAL</w:t>
                                    </w:r>
                                  </w:sdtContent>
                                </w:sdt>
                              </w:p>
                              <w:sdt>
                                <w:sdtPr>
                                  <w:rPr>
                                    <w:b/>
                                    <w:color w:val="4472C4" w:themeColor="accent1"/>
                                    <w:sz w:val="36"/>
                                    <w:szCs w:val="36"/>
                                    <w:u w:val="single"/>
                                  </w:rPr>
                                  <w:alias w:val="Subtitle"/>
                                  <w:tag w:val=""/>
                                  <w:id w:val="1721247997"/>
                                  <w:showingPlcHdr/>
                                  <w:dataBinding w:prefixMappings="xmlns:ns0='http://purl.org/dc/elements/1.1/' xmlns:ns1='http://schemas.openxmlformats.org/package/2006/metadata/core-properties' " w:xpath="/ns1:coreProperties[1]/ns0:subject[1]" w:storeItemID="{6C3C8BC8-F283-45AE-878A-BAB7291924A1}"/>
                                  <w:text/>
                                </w:sdtPr>
                                <w:sdtContent>
                                  <w:p w:rsidR="00B918E3" w:rsidRDefault="00B918E3">
                                    <w:pPr>
                                      <w:jc w:val="right"/>
                                      <w:rPr>
                                        <w:smallCaps/>
                                        <w:color w:val="404040" w:themeColor="text1" w:themeTint="BF"/>
                                        <w:sz w:val="36"/>
                                        <w:szCs w:val="36"/>
                                      </w:rPr>
                                    </w:pPr>
                                    <w:r>
                                      <w:rPr>
                                        <w:b/>
                                        <w:color w:val="4472C4" w:themeColor="accent1"/>
                                        <w:sz w:val="36"/>
                                        <w:szCs w:val="36"/>
                                        <w:u w:val="single"/>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99.75pt;margin-top:490.5pt;width:503.15pt;height:15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" filled="f" stroked="f" strokeweight=".5pt">
                    <v:textbox inset="126pt,0,54pt,0">
                      <w:txbxContent>
                        <w:p w:rsidR="00B918E3" w:rsidRDefault="00B918E3" w:rsidP="00A7185B">
                          <w:pPr>
                            <w:jc w:val="right"/>
                            <w:rPr>
                              <w:color w:val="4472C4" w:themeColor="accent1"/>
                              <w:sz w:val="64"/>
                              <w:szCs w:val="64"/>
                            </w:rPr>
                          </w:pPr>
                          <w:sdt>
                            <w:sdtPr>
                              <w:rPr>
                                <w:caps/>
                                <w:color w:val="4472C4" w:themeColor="accent1"/>
                                <w:sz w:val="64"/>
                                <w:szCs w:val="64"/>
                              </w:rPr>
                              <w:alias w:val="Title"/>
                              <w:tag w:val=""/>
                              <w:id w:val="-116847313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D245E0">
                                <w:rPr>
                                  <w:caps/>
                                  <w:color w:val="4472C4" w:themeColor="accent1"/>
                                  <w:sz w:val="64"/>
                                  <w:szCs w:val="64"/>
                                </w:rPr>
                                <w:t>Victims of Crime Act</w:t>
                              </w:r>
                              <w:r>
                                <w:rPr>
                                  <w:caps/>
                                  <w:color w:val="4472C4" w:themeColor="accent1"/>
                                  <w:sz w:val="64"/>
                                  <w:szCs w:val="64"/>
                                </w:rPr>
                                <w:br/>
                              </w:r>
                              <w:r>
                                <w:rPr>
                                  <w:color w:val="4472C4" w:themeColor="accent1"/>
                                  <w:sz w:val="64"/>
                                  <w:szCs w:val="64"/>
                                </w:rPr>
                                <w:t>SUBGRANT MANUAL</w:t>
                              </w:r>
                            </w:sdtContent>
                          </w:sdt>
                        </w:p>
                        <w:sdt>
                          <w:sdtPr>
                            <w:rPr>
                              <w:b/>
                              <w:color w:val="4472C4" w:themeColor="accent1"/>
                              <w:sz w:val="36"/>
                              <w:szCs w:val="36"/>
                              <w:u w:val="single"/>
                            </w:rPr>
                            <w:alias w:val="Subtitle"/>
                            <w:tag w:val=""/>
                            <w:id w:val="1721247997"/>
                            <w:showingPlcHdr/>
                            <w:dataBinding w:prefixMappings="xmlns:ns0='http://purl.org/dc/elements/1.1/' xmlns:ns1='http://schemas.openxmlformats.org/package/2006/metadata/core-properties' " w:xpath="/ns1:coreProperties[1]/ns0:subject[1]" w:storeItemID="{6C3C8BC8-F283-45AE-878A-BAB7291924A1}"/>
                            <w:text/>
                          </w:sdtPr>
                          <w:sdtContent>
                            <w:p w:rsidR="00B918E3" w:rsidRDefault="00B918E3">
                              <w:pPr>
                                <w:jc w:val="right"/>
                                <w:rPr>
                                  <w:smallCaps/>
                                  <w:color w:val="404040" w:themeColor="text1" w:themeTint="BF"/>
                                  <w:sz w:val="36"/>
                                  <w:szCs w:val="36"/>
                                </w:rPr>
                              </w:pPr>
                              <w:r>
                                <w:rPr>
                                  <w:b/>
                                  <w:color w:val="4472C4" w:themeColor="accent1"/>
                                  <w:sz w:val="36"/>
                                  <w:szCs w:val="36"/>
                                  <w:u w:val="single"/>
                                </w:rPr>
                                <w:t xml:space="preserve">     </w:t>
                              </w:r>
                            </w:p>
                          </w:sdtContent>
                        </w:sdt>
                      </w:txbxContent>
                    </v:textbox>
                    <w10:wrap type="square" anchorx="page" anchory="page"/>
                  </v:shape>
                </w:pict>
              </mc:Fallback>
            </mc:AlternateContent>
          </w:r>
          <w:r w:rsidR="00005FEB" w:rsidRPr="00D601CC">
            <w:rPr>
              <w:rFonts w:cstheme="minorHAnsi"/>
              <w:b/>
              <w:noProof/>
              <w:color w:val="4472C4" w:themeColor="accent1"/>
              <w:sz w:val="24"/>
              <w:szCs w:val="24"/>
              <w:u w:val="single"/>
            </w:rPr>
            <mc:AlternateContent>
              <mc:Choice Requires="wps">
                <w:drawing>
                  <wp:anchor distT="91440" distB="91440" distL="114300" distR="114300" simplePos="0" relativeHeight="251667456" behindDoc="0" locked="0" layoutInCell="1" allowOverlap="1">
                    <wp:simplePos x="0" y="0"/>
                    <wp:positionH relativeFrom="page">
                      <wp:posOffset>3476625</wp:posOffset>
                    </wp:positionH>
                    <wp:positionV relativeFrom="paragraph">
                      <wp:posOffset>4828540</wp:posOffset>
                    </wp:positionV>
                    <wp:extent cx="3714750" cy="143065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30655"/>
                            </a:xfrm>
                            <a:prstGeom prst="rect">
                              <a:avLst/>
                            </a:prstGeom>
                            <a:noFill/>
                            <a:ln w="9525">
                              <a:noFill/>
                              <a:miter lim="800000"/>
                              <a:headEnd/>
                              <a:tailEnd/>
                            </a:ln>
                          </wps:spPr>
                          <wps:txbx>
                            <w:txbxContent>
                              <w:p w:rsidR="00B918E3" w:rsidRPr="00C43943" w:rsidRDefault="00B918E3">
                                <w:pPr>
                                  <w:pBdr>
                                    <w:top w:val="single" w:sz="24" w:space="8" w:color="4472C4" w:themeColor="accent1"/>
                                    <w:bottom w:val="single" w:sz="24" w:space="8" w:color="4472C4" w:themeColor="accent1"/>
                                  </w:pBdr>
                                  <w:spacing w:after="0"/>
                                  <w:rPr>
                                    <w:iCs/>
                                    <w:color w:val="4472C4" w:themeColor="accent1"/>
                                    <w:sz w:val="24"/>
                                    <w:szCs w:val="24"/>
                                  </w:rPr>
                                </w:pPr>
                                <w:r w:rsidRPr="00C43943">
                                  <w:rPr>
                                    <w:iCs/>
                                    <w:color w:val="4472C4" w:themeColor="accent1"/>
                                    <w:sz w:val="24"/>
                                    <w:szCs w:val="24"/>
                                  </w:rPr>
                                  <w:t>Michael Hogan, Administrative Manager</w:t>
                                </w:r>
                              </w:p>
                              <w:p w:rsidR="00B918E3" w:rsidRDefault="00B918E3">
                                <w:pPr>
                                  <w:pBdr>
                                    <w:top w:val="single" w:sz="24" w:space="8" w:color="4472C4" w:themeColor="accent1"/>
                                    <w:bottom w:val="single" w:sz="24" w:space="8" w:color="4472C4" w:themeColor="accent1"/>
                                  </w:pBdr>
                                  <w:spacing w:after="0"/>
                                  <w:rPr>
                                    <w:iCs/>
                                    <w:color w:val="4472C4" w:themeColor="accent1"/>
                                    <w:sz w:val="24"/>
                                  </w:rPr>
                                </w:pPr>
                                <w:hyperlink r:id="rId10" w:history="1">
                                  <w:r w:rsidRPr="00B541AD">
                                    <w:rPr>
                                      <w:rStyle w:val="Hyperlink"/>
                                      <w:iCs/>
                                      <w:sz w:val="24"/>
                                    </w:rPr>
                                    <w:t>Michael.Hogan@RIPSGA.gov</w:t>
                                  </w:r>
                                </w:hyperlink>
                              </w:p>
                              <w:p w:rsidR="00B918E3" w:rsidRDefault="00B918E3">
                                <w:pPr>
                                  <w:pBdr>
                                    <w:top w:val="single" w:sz="24" w:space="8" w:color="4472C4" w:themeColor="accent1"/>
                                    <w:bottom w:val="single" w:sz="24" w:space="8" w:color="4472C4" w:themeColor="accent1"/>
                                  </w:pBdr>
                                  <w:spacing w:after="0"/>
                                  <w:rPr>
                                    <w:iCs/>
                                    <w:color w:val="4472C4" w:themeColor="accent1"/>
                                    <w:sz w:val="24"/>
                                  </w:rPr>
                                </w:pPr>
                                <w:r>
                                  <w:rPr>
                                    <w:iCs/>
                                    <w:color w:val="4472C4" w:themeColor="accent1"/>
                                    <w:sz w:val="24"/>
                                  </w:rPr>
                                  <w:t>Denise Fernandes</w:t>
                                </w:r>
                              </w:p>
                              <w:p w:rsidR="00B918E3" w:rsidRDefault="00B918E3">
                                <w:pPr>
                                  <w:pBdr>
                                    <w:top w:val="single" w:sz="24" w:space="8" w:color="4472C4" w:themeColor="accent1"/>
                                    <w:bottom w:val="single" w:sz="24" w:space="8" w:color="4472C4" w:themeColor="accent1"/>
                                  </w:pBdr>
                                  <w:spacing w:after="0"/>
                                  <w:rPr>
                                    <w:iCs/>
                                    <w:color w:val="4472C4" w:themeColor="accent1"/>
                                    <w:sz w:val="24"/>
                                  </w:rPr>
                                </w:pPr>
                                <w:hyperlink r:id="rId11" w:history="1">
                                  <w:r w:rsidRPr="000D0BB1">
                                    <w:rPr>
                                      <w:rStyle w:val="Hyperlink"/>
                                      <w:iCs/>
                                      <w:sz w:val="24"/>
                                    </w:rPr>
                                    <w:t>Denise.Fernandes@RIPSGA.gov</w:t>
                                  </w:r>
                                </w:hyperlink>
                              </w:p>
                              <w:p w:rsidR="00B918E3" w:rsidRDefault="00B918E3">
                                <w:pPr>
                                  <w:pBdr>
                                    <w:top w:val="single" w:sz="24" w:space="8" w:color="4472C4" w:themeColor="accent1"/>
                                    <w:bottom w:val="single" w:sz="24" w:space="8" w:color="4472C4" w:themeColor="accent1"/>
                                  </w:pBdr>
                                  <w:spacing w:after="0"/>
                                  <w:rPr>
                                    <w:iCs/>
                                    <w:color w:val="4472C4" w:themeColor="accent1"/>
                                    <w:sz w:val="24"/>
                                  </w:rPr>
                                </w:pPr>
                                <w:r>
                                  <w:rPr>
                                    <w:iCs/>
                                    <w:color w:val="4472C4" w:themeColor="accent1"/>
                                    <w:sz w:val="24"/>
                                  </w:rPr>
                                  <w:t>Bradley Orleck</w:t>
                                </w:r>
                              </w:p>
                              <w:p w:rsidR="00B918E3" w:rsidRDefault="00B918E3">
                                <w:pPr>
                                  <w:pBdr>
                                    <w:top w:val="single" w:sz="24" w:space="8" w:color="4472C4" w:themeColor="accent1"/>
                                    <w:bottom w:val="single" w:sz="24" w:space="8" w:color="4472C4" w:themeColor="accent1"/>
                                  </w:pBdr>
                                  <w:spacing w:after="0"/>
                                  <w:rPr>
                                    <w:iCs/>
                                    <w:color w:val="4472C4" w:themeColor="accent1"/>
                                    <w:sz w:val="24"/>
                                  </w:rPr>
                                </w:pPr>
                                <w:hyperlink r:id="rId12" w:history="1">
                                  <w:r w:rsidRPr="00B541AD">
                                    <w:rPr>
                                      <w:rStyle w:val="Hyperlink"/>
                                      <w:iCs/>
                                      <w:sz w:val="24"/>
                                    </w:rPr>
                                    <w:t>Bradley.Orleck@RIPSGA.gov</w:t>
                                  </w:r>
                                </w:hyperlink>
                              </w:p>
                              <w:p w:rsidR="00B918E3" w:rsidRPr="00D601CC" w:rsidRDefault="00B918E3">
                                <w:pPr>
                                  <w:pBdr>
                                    <w:top w:val="single" w:sz="24" w:space="8" w:color="4472C4" w:themeColor="accent1"/>
                                    <w:bottom w:val="single" w:sz="24" w:space="8" w:color="4472C4" w:themeColor="accent1"/>
                                  </w:pBdr>
                                  <w:spacing w:after="0"/>
                                  <w:rPr>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3.75pt;margin-top:380.2pt;width:292.5pt;height:112.65pt;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" filled="f" stroked="f">
                    <v:textbox>
                      <w:txbxContent>
                        <w:p w:rsidR="00B918E3" w:rsidRPr="00C43943" w:rsidRDefault="00B918E3">
                          <w:pPr>
                            <w:pBdr>
                              <w:top w:val="single" w:sz="24" w:space="8" w:color="4472C4" w:themeColor="accent1"/>
                              <w:bottom w:val="single" w:sz="24" w:space="8" w:color="4472C4" w:themeColor="accent1"/>
                            </w:pBdr>
                            <w:spacing w:after="0"/>
                            <w:rPr>
                              <w:iCs/>
                              <w:color w:val="4472C4" w:themeColor="accent1"/>
                              <w:sz w:val="24"/>
                              <w:szCs w:val="24"/>
                            </w:rPr>
                          </w:pPr>
                          <w:r w:rsidRPr="00C43943">
                            <w:rPr>
                              <w:iCs/>
                              <w:color w:val="4472C4" w:themeColor="accent1"/>
                              <w:sz w:val="24"/>
                              <w:szCs w:val="24"/>
                            </w:rPr>
                            <w:t>Michael Hogan, Administrative Manager</w:t>
                          </w:r>
                        </w:p>
                        <w:p w:rsidR="00B918E3" w:rsidRDefault="00B918E3">
                          <w:pPr>
                            <w:pBdr>
                              <w:top w:val="single" w:sz="24" w:space="8" w:color="4472C4" w:themeColor="accent1"/>
                              <w:bottom w:val="single" w:sz="24" w:space="8" w:color="4472C4" w:themeColor="accent1"/>
                            </w:pBdr>
                            <w:spacing w:after="0"/>
                            <w:rPr>
                              <w:iCs/>
                              <w:color w:val="4472C4" w:themeColor="accent1"/>
                              <w:sz w:val="24"/>
                            </w:rPr>
                          </w:pPr>
                          <w:hyperlink r:id="rId13" w:history="1">
                            <w:r w:rsidRPr="00B541AD">
                              <w:rPr>
                                <w:rStyle w:val="Hyperlink"/>
                                <w:iCs/>
                                <w:sz w:val="24"/>
                              </w:rPr>
                              <w:t>Michael.Hogan@RIPSGA.gov</w:t>
                            </w:r>
                          </w:hyperlink>
                        </w:p>
                        <w:p w:rsidR="00B918E3" w:rsidRDefault="00B918E3">
                          <w:pPr>
                            <w:pBdr>
                              <w:top w:val="single" w:sz="24" w:space="8" w:color="4472C4" w:themeColor="accent1"/>
                              <w:bottom w:val="single" w:sz="24" w:space="8" w:color="4472C4" w:themeColor="accent1"/>
                            </w:pBdr>
                            <w:spacing w:after="0"/>
                            <w:rPr>
                              <w:iCs/>
                              <w:color w:val="4472C4" w:themeColor="accent1"/>
                              <w:sz w:val="24"/>
                            </w:rPr>
                          </w:pPr>
                          <w:r>
                            <w:rPr>
                              <w:iCs/>
                              <w:color w:val="4472C4" w:themeColor="accent1"/>
                              <w:sz w:val="24"/>
                            </w:rPr>
                            <w:t>Denise Fernandes</w:t>
                          </w:r>
                        </w:p>
                        <w:p w:rsidR="00B918E3" w:rsidRDefault="00B918E3">
                          <w:pPr>
                            <w:pBdr>
                              <w:top w:val="single" w:sz="24" w:space="8" w:color="4472C4" w:themeColor="accent1"/>
                              <w:bottom w:val="single" w:sz="24" w:space="8" w:color="4472C4" w:themeColor="accent1"/>
                            </w:pBdr>
                            <w:spacing w:after="0"/>
                            <w:rPr>
                              <w:iCs/>
                              <w:color w:val="4472C4" w:themeColor="accent1"/>
                              <w:sz w:val="24"/>
                            </w:rPr>
                          </w:pPr>
                          <w:hyperlink r:id="rId14" w:history="1">
                            <w:r w:rsidRPr="000D0BB1">
                              <w:rPr>
                                <w:rStyle w:val="Hyperlink"/>
                                <w:iCs/>
                                <w:sz w:val="24"/>
                              </w:rPr>
                              <w:t>Denise.Fernandes@RIPSGA.gov</w:t>
                            </w:r>
                          </w:hyperlink>
                        </w:p>
                        <w:p w:rsidR="00B918E3" w:rsidRDefault="00B918E3">
                          <w:pPr>
                            <w:pBdr>
                              <w:top w:val="single" w:sz="24" w:space="8" w:color="4472C4" w:themeColor="accent1"/>
                              <w:bottom w:val="single" w:sz="24" w:space="8" w:color="4472C4" w:themeColor="accent1"/>
                            </w:pBdr>
                            <w:spacing w:after="0"/>
                            <w:rPr>
                              <w:iCs/>
                              <w:color w:val="4472C4" w:themeColor="accent1"/>
                              <w:sz w:val="24"/>
                            </w:rPr>
                          </w:pPr>
                          <w:r>
                            <w:rPr>
                              <w:iCs/>
                              <w:color w:val="4472C4" w:themeColor="accent1"/>
                              <w:sz w:val="24"/>
                            </w:rPr>
                            <w:t>Bradley Orleck</w:t>
                          </w:r>
                        </w:p>
                        <w:p w:rsidR="00B918E3" w:rsidRDefault="00B918E3">
                          <w:pPr>
                            <w:pBdr>
                              <w:top w:val="single" w:sz="24" w:space="8" w:color="4472C4" w:themeColor="accent1"/>
                              <w:bottom w:val="single" w:sz="24" w:space="8" w:color="4472C4" w:themeColor="accent1"/>
                            </w:pBdr>
                            <w:spacing w:after="0"/>
                            <w:rPr>
                              <w:iCs/>
                              <w:color w:val="4472C4" w:themeColor="accent1"/>
                              <w:sz w:val="24"/>
                            </w:rPr>
                          </w:pPr>
                          <w:hyperlink r:id="rId15" w:history="1">
                            <w:r w:rsidRPr="00B541AD">
                              <w:rPr>
                                <w:rStyle w:val="Hyperlink"/>
                                <w:iCs/>
                                <w:sz w:val="24"/>
                              </w:rPr>
                              <w:t>Bradley.Orleck@RIPSGA.gov</w:t>
                            </w:r>
                          </w:hyperlink>
                        </w:p>
                        <w:p w:rsidR="00B918E3" w:rsidRPr="00D601CC" w:rsidRDefault="00B918E3">
                          <w:pPr>
                            <w:pBdr>
                              <w:top w:val="single" w:sz="24" w:space="8" w:color="4472C4" w:themeColor="accent1"/>
                              <w:bottom w:val="single" w:sz="24" w:space="8" w:color="4472C4" w:themeColor="accent1"/>
                            </w:pBdr>
                            <w:spacing w:after="0"/>
                            <w:rPr>
                              <w:iCs/>
                              <w:color w:val="4472C4" w:themeColor="accent1"/>
                              <w:sz w:val="24"/>
                            </w:rPr>
                          </w:pPr>
                        </w:p>
                      </w:txbxContent>
                    </v:textbox>
                    <w10:wrap type="topAndBottom" anchorx="page"/>
                  </v:shape>
                </w:pict>
              </mc:Fallback>
            </mc:AlternateContent>
          </w:r>
          <w:r w:rsidR="00E27AE0" w:rsidRPr="00E27AE0">
            <w:rPr>
              <w:rFonts w:cstheme="minorHAnsi"/>
              <w:b/>
              <w:noProof/>
              <w:color w:val="4472C4" w:themeColor="accent1"/>
              <w:sz w:val="24"/>
              <w:szCs w:val="24"/>
              <w:u w:val="single"/>
            </w:rPr>
            <mc:AlternateContent>
              <mc:Choice Requires="wps">
                <w:drawing>
                  <wp:anchor distT="45720" distB="45720" distL="114300" distR="114300" simplePos="0" relativeHeight="251669504" behindDoc="1" locked="0" layoutInCell="1" allowOverlap="1">
                    <wp:simplePos x="0" y="0"/>
                    <wp:positionH relativeFrom="column">
                      <wp:posOffset>2562225</wp:posOffset>
                    </wp:positionH>
                    <wp:positionV relativeFrom="paragraph">
                      <wp:posOffset>4476115</wp:posOffset>
                    </wp:positionV>
                    <wp:extent cx="3714750" cy="5314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31495"/>
                            </a:xfrm>
                            <a:prstGeom prst="rect">
                              <a:avLst/>
                            </a:prstGeom>
                            <a:solidFill>
                              <a:srgbClr val="FFFFFF"/>
                            </a:solidFill>
                            <a:ln w="9525">
                              <a:noFill/>
                              <a:miter lim="800000"/>
                              <a:headEnd/>
                              <a:tailEnd/>
                            </a:ln>
                          </wps:spPr>
                          <wps:txbx>
                            <w:txbxContent>
                              <w:p w:rsidR="00B918E3" w:rsidRPr="00005FEB" w:rsidRDefault="00B918E3">
                                <w:pPr>
                                  <w:rPr>
                                    <w:b/>
                                    <w:color w:val="4472C4" w:themeColor="accent1"/>
                                    <w:sz w:val="32"/>
                                    <w:szCs w:val="32"/>
                                  </w:rPr>
                                </w:pPr>
                                <w:r w:rsidRPr="00005FEB">
                                  <w:rPr>
                                    <w:b/>
                                    <w:color w:val="4472C4" w:themeColor="accent1"/>
                                    <w:sz w:val="32"/>
                                    <w:szCs w:val="32"/>
                                  </w:rPr>
                                  <w:t>Public Safety Grant Administration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01.75pt;margin-top:352.45pt;width:292.5pt;height:41.8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" stroked="f">
                    <v:textbox>
                      <w:txbxContent>
                        <w:p w:rsidR="00B918E3" w:rsidRPr="00005FEB" w:rsidRDefault="00B918E3">
                          <w:pPr>
                            <w:rPr>
                              <w:b/>
                              <w:color w:val="4472C4" w:themeColor="accent1"/>
                              <w:sz w:val="32"/>
                              <w:szCs w:val="32"/>
                            </w:rPr>
                          </w:pPr>
                          <w:r w:rsidRPr="00005FEB">
                            <w:rPr>
                              <w:b/>
                              <w:color w:val="4472C4" w:themeColor="accent1"/>
                              <w:sz w:val="32"/>
                              <w:szCs w:val="32"/>
                            </w:rPr>
                            <w:t>Public Safety Grant Administration Office</w:t>
                          </w:r>
                        </w:p>
                      </w:txbxContent>
                    </v:textbox>
                  </v:shape>
                </w:pict>
              </mc:Fallback>
            </mc:AlternateContent>
          </w:r>
          <w:r w:rsidR="00FB148A">
            <w:rPr>
              <w:rFonts w:cstheme="minorHAnsi"/>
              <w:b/>
              <w:color w:val="4472C4" w:themeColor="accent1"/>
              <w:sz w:val="24"/>
              <w:szCs w:val="24"/>
              <w:u w:val="single"/>
            </w:rPr>
            <w:br w:type="page"/>
          </w:r>
        </w:p>
      </w:sdtContent>
    </w:sdt>
    <w:sdt>
      <w:sdtPr>
        <w:rPr>
          <w:rFonts w:asciiTheme="minorHAnsi" w:eastAsiaTheme="minorHAnsi" w:hAnsiTheme="minorHAnsi" w:cstheme="minorBidi"/>
          <w:color w:val="auto"/>
          <w:sz w:val="22"/>
          <w:szCs w:val="22"/>
        </w:rPr>
        <w:id w:val="-264390942"/>
        <w:docPartObj>
          <w:docPartGallery w:val="Table of Contents"/>
          <w:docPartUnique/>
        </w:docPartObj>
      </w:sdtPr>
      <w:sdtEndPr>
        <w:rPr>
          <w:b/>
          <w:bCs/>
          <w:noProof/>
        </w:rPr>
      </w:sdtEndPr>
      <w:sdtContent>
        <w:p w:rsidR="005615DB" w:rsidRDefault="005615DB">
          <w:pPr>
            <w:pStyle w:val="TOCHeading"/>
          </w:pPr>
          <w:r>
            <w:t>Table of Contents</w:t>
          </w:r>
        </w:p>
        <w:p w:rsidR="009F67A3" w:rsidRDefault="005615DB">
          <w:pPr>
            <w:pStyle w:val="TOC1"/>
            <w:tabs>
              <w:tab w:val="right" w:leader="dot" w:pos="935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8299879" w:history="1">
            <w:r w:rsidR="009F67A3" w:rsidRPr="00AC17A9">
              <w:rPr>
                <w:rStyle w:val="Hyperlink"/>
                <w:noProof/>
              </w:rPr>
              <w:t>INTRODUCTION</w:t>
            </w:r>
            <w:r w:rsidR="009F67A3">
              <w:rPr>
                <w:noProof/>
                <w:webHidden/>
              </w:rPr>
              <w:tab/>
            </w:r>
            <w:r w:rsidR="009F67A3">
              <w:rPr>
                <w:noProof/>
                <w:webHidden/>
              </w:rPr>
              <w:fldChar w:fldCharType="begin"/>
            </w:r>
            <w:r w:rsidR="009F67A3">
              <w:rPr>
                <w:noProof/>
                <w:webHidden/>
              </w:rPr>
              <w:instrText xml:space="preserve"> PAGEREF _Toc8299879 \h </w:instrText>
            </w:r>
            <w:r w:rsidR="009F67A3">
              <w:rPr>
                <w:noProof/>
                <w:webHidden/>
              </w:rPr>
            </w:r>
            <w:r w:rsidR="009F67A3">
              <w:rPr>
                <w:noProof/>
                <w:webHidden/>
              </w:rPr>
              <w:fldChar w:fldCharType="separate"/>
            </w:r>
            <w:r w:rsidR="009E1CD6">
              <w:rPr>
                <w:noProof/>
                <w:webHidden/>
              </w:rPr>
              <w:t>3</w:t>
            </w:r>
            <w:r w:rsidR="009F67A3">
              <w:rPr>
                <w:noProof/>
                <w:webHidden/>
              </w:rPr>
              <w:fldChar w:fldCharType="end"/>
            </w:r>
          </w:hyperlink>
        </w:p>
        <w:p w:rsidR="009F67A3" w:rsidRDefault="009F67A3">
          <w:pPr>
            <w:pStyle w:val="TOC2"/>
            <w:tabs>
              <w:tab w:val="right" w:leader="dot" w:pos="9350"/>
            </w:tabs>
            <w:rPr>
              <w:rFonts w:cstheme="minorBidi"/>
              <w:noProof/>
            </w:rPr>
          </w:pPr>
          <w:hyperlink w:anchor="_Toc8299880" w:history="1">
            <w:r w:rsidRPr="00AC17A9">
              <w:rPr>
                <w:rStyle w:val="Hyperlink"/>
                <w:noProof/>
              </w:rPr>
              <w:t>Common Acronyms</w:t>
            </w:r>
            <w:r>
              <w:rPr>
                <w:noProof/>
                <w:webHidden/>
              </w:rPr>
              <w:tab/>
            </w:r>
            <w:r>
              <w:rPr>
                <w:noProof/>
                <w:webHidden/>
              </w:rPr>
              <w:fldChar w:fldCharType="begin"/>
            </w:r>
            <w:r>
              <w:rPr>
                <w:noProof/>
                <w:webHidden/>
              </w:rPr>
              <w:instrText xml:space="preserve"> PAGEREF _Toc8299880 \h </w:instrText>
            </w:r>
            <w:r>
              <w:rPr>
                <w:noProof/>
                <w:webHidden/>
              </w:rPr>
            </w:r>
            <w:r>
              <w:rPr>
                <w:noProof/>
                <w:webHidden/>
              </w:rPr>
              <w:fldChar w:fldCharType="separate"/>
            </w:r>
            <w:r w:rsidR="009E1CD6">
              <w:rPr>
                <w:noProof/>
                <w:webHidden/>
              </w:rPr>
              <w:t>3</w:t>
            </w:r>
            <w:r>
              <w:rPr>
                <w:noProof/>
                <w:webHidden/>
              </w:rPr>
              <w:fldChar w:fldCharType="end"/>
            </w:r>
          </w:hyperlink>
        </w:p>
        <w:p w:rsidR="009F67A3" w:rsidRDefault="009F67A3">
          <w:pPr>
            <w:pStyle w:val="TOC2"/>
            <w:tabs>
              <w:tab w:val="right" w:leader="dot" w:pos="9350"/>
            </w:tabs>
            <w:rPr>
              <w:rFonts w:cstheme="minorBidi"/>
              <w:noProof/>
            </w:rPr>
          </w:pPr>
          <w:hyperlink w:anchor="_Toc8299881" w:history="1">
            <w:r w:rsidRPr="00AC17A9">
              <w:rPr>
                <w:rStyle w:val="Hyperlink"/>
                <w:noProof/>
              </w:rPr>
              <w:t>About VOCA</w:t>
            </w:r>
            <w:r>
              <w:rPr>
                <w:noProof/>
                <w:webHidden/>
              </w:rPr>
              <w:tab/>
            </w:r>
            <w:r>
              <w:rPr>
                <w:noProof/>
                <w:webHidden/>
              </w:rPr>
              <w:fldChar w:fldCharType="begin"/>
            </w:r>
            <w:r>
              <w:rPr>
                <w:noProof/>
                <w:webHidden/>
              </w:rPr>
              <w:instrText xml:space="preserve"> PAGEREF _Toc8299881 \h </w:instrText>
            </w:r>
            <w:r>
              <w:rPr>
                <w:noProof/>
                <w:webHidden/>
              </w:rPr>
            </w:r>
            <w:r>
              <w:rPr>
                <w:noProof/>
                <w:webHidden/>
              </w:rPr>
              <w:fldChar w:fldCharType="separate"/>
            </w:r>
            <w:r w:rsidR="009E1CD6">
              <w:rPr>
                <w:noProof/>
                <w:webHidden/>
              </w:rPr>
              <w:t>3</w:t>
            </w:r>
            <w:r>
              <w:rPr>
                <w:noProof/>
                <w:webHidden/>
              </w:rPr>
              <w:fldChar w:fldCharType="end"/>
            </w:r>
          </w:hyperlink>
        </w:p>
        <w:p w:rsidR="009F67A3" w:rsidRDefault="009F67A3">
          <w:pPr>
            <w:pStyle w:val="TOC2"/>
            <w:tabs>
              <w:tab w:val="right" w:leader="dot" w:pos="9350"/>
            </w:tabs>
            <w:rPr>
              <w:rFonts w:cstheme="minorBidi"/>
              <w:noProof/>
            </w:rPr>
          </w:pPr>
          <w:hyperlink w:anchor="_Toc8299882" w:history="1">
            <w:r w:rsidRPr="00AC17A9">
              <w:rPr>
                <w:rStyle w:val="Hyperlink"/>
                <w:noProof/>
              </w:rPr>
              <w:t>VOCA Advisory Committee and Project Selection</w:t>
            </w:r>
            <w:r>
              <w:rPr>
                <w:noProof/>
                <w:webHidden/>
              </w:rPr>
              <w:tab/>
            </w:r>
            <w:r>
              <w:rPr>
                <w:noProof/>
                <w:webHidden/>
              </w:rPr>
              <w:fldChar w:fldCharType="begin"/>
            </w:r>
            <w:r>
              <w:rPr>
                <w:noProof/>
                <w:webHidden/>
              </w:rPr>
              <w:instrText xml:space="preserve"> PAGEREF _Toc8299882 \h </w:instrText>
            </w:r>
            <w:r>
              <w:rPr>
                <w:noProof/>
                <w:webHidden/>
              </w:rPr>
            </w:r>
            <w:r>
              <w:rPr>
                <w:noProof/>
                <w:webHidden/>
              </w:rPr>
              <w:fldChar w:fldCharType="separate"/>
            </w:r>
            <w:r w:rsidR="009E1CD6">
              <w:rPr>
                <w:noProof/>
                <w:webHidden/>
              </w:rPr>
              <w:t>4</w:t>
            </w:r>
            <w:r>
              <w:rPr>
                <w:noProof/>
                <w:webHidden/>
              </w:rPr>
              <w:fldChar w:fldCharType="end"/>
            </w:r>
          </w:hyperlink>
        </w:p>
        <w:p w:rsidR="009F67A3" w:rsidRDefault="009F67A3">
          <w:pPr>
            <w:pStyle w:val="TOC2"/>
            <w:tabs>
              <w:tab w:val="right" w:leader="dot" w:pos="9350"/>
            </w:tabs>
            <w:rPr>
              <w:rFonts w:cstheme="minorBidi"/>
              <w:noProof/>
            </w:rPr>
          </w:pPr>
          <w:hyperlink w:anchor="_Toc8299883" w:history="1">
            <w:r w:rsidRPr="00AC17A9">
              <w:rPr>
                <w:rStyle w:val="Hyperlink"/>
                <w:noProof/>
              </w:rPr>
              <w:t>Project Period</w:t>
            </w:r>
            <w:r>
              <w:rPr>
                <w:noProof/>
                <w:webHidden/>
              </w:rPr>
              <w:tab/>
            </w:r>
            <w:r>
              <w:rPr>
                <w:noProof/>
                <w:webHidden/>
              </w:rPr>
              <w:fldChar w:fldCharType="begin"/>
            </w:r>
            <w:r>
              <w:rPr>
                <w:noProof/>
                <w:webHidden/>
              </w:rPr>
              <w:instrText xml:space="preserve"> PAGEREF _Toc8299883 \h </w:instrText>
            </w:r>
            <w:r>
              <w:rPr>
                <w:noProof/>
                <w:webHidden/>
              </w:rPr>
            </w:r>
            <w:r>
              <w:rPr>
                <w:noProof/>
                <w:webHidden/>
              </w:rPr>
              <w:fldChar w:fldCharType="separate"/>
            </w:r>
            <w:r w:rsidR="009E1CD6">
              <w:rPr>
                <w:noProof/>
                <w:webHidden/>
              </w:rPr>
              <w:t>4</w:t>
            </w:r>
            <w:r>
              <w:rPr>
                <w:noProof/>
                <w:webHidden/>
              </w:rPr>
              <w:fldChar w:fldCharType="end"/>
            </w:r>
          </w:hyperlink>
        </w:p>
        <w:p w:rsidR="009F67A3" w:rsidRDefault="009F67A3">
          <w:pPr>
            <w:pStyle w:val="TOC2"/>
            <w:tabs>
              <w:tab w:val="right" w:leader="dot" w:pos="9350"/>
            </w:tabs>
            <w:rPr>
              <w:rFonts w:cstheme="minorBidi"/>
              <w:noProof/>
            </w:rPr>
          </w:pPr>
          <w:hyperlink w:anchor="_Toc8299884" w:history="1">
            <w:r w:rsidRPr="00AC17A9">
              <w:rPr>
                <w:rStyle w:val="Hyperlink"/>
                <w:noProof/>
              </w:rPr>
              <w:t>Applicable Federal Regulations</w:t>
            </w:r>
            <w:r>
              <w:rPr>
                <w:noProof/>
                <w:webHidden/>
              </w:rPr>
              <w:tab/>
            </w:r>
            <w:r>
              <w:rPr>
                <w:noProof/>
                <w:webHidden/>
              </w:rPr>
              <w:fldChar w:fldCharType="begin"/>
            </w:r>
            <w:r>
              <w:rPr>
                <w:noProof/>
                <w:webHidden/>
              </w:rPr>
              <w:instrText xml:space="preserve"> PAGEREF _Toc8299884 \h </w:instrText>
            </w:r>
            <w:r>
              <w:rPr>
                <w:noProof/>
                <w:webHidden/>
              </w:rPr>
            </w:r>
            <w:r>
              <w:rPr>
                <w:noProof/>
                <w:webHidden/>
              </w:rPr>
              <w:fldChar w:fldCharType="separate"/>
            </w:r>
            <w:r w:rsidR="009E1CD6">
              <w:rPr>
                <w:noProof/>
                <w:webHidden/>
              </w:rPr>
              <w:t>4</w:t>
            </w:r>
            <w:r>
              <w:rPr>
                <w:noProof/>
                <w:webHidden/>
              </w:rPr>
              <w:fldChar w:fldCharType="end"/>
            </w:r>
          </w:hyperlink>
        </w:p>
        <w:p w:rsidR="009F67A3" w:rsidRDefault="009F67A3">
          <w:pPr>
            <w:pStyle w:val="TOC2"/>
            <w:tabs>
              <w:tab w:val="right" w:leader="dot" w:pos="9350"/>
            </w:tabs>
            <w:rPr>
              <w:rFonts w:cstheme="minorBidi"/>
              <w:noProof/>
            </w:rPr>
          </w:pPr>
          <w:hyperlink w:anchor="_Toc8299885" w:history="1">
            <w:r w:rsidRPr="00AC17A9">
              <w:rPr>
                <w:rStyle w:val="Hyperlink"/>
                <w:noProof/>
              </w:rPr>
              <w:t>Performance Measurement Tool</w:t>
            </w:r>
            <w:r>
              <w:rPr>
                <w:noProof/>
                <w:webHidden/>
              </w:rPr>
              <w:tab/>
            </w:r>
            <w:r>
              <w:rPr>
                <w:noProof/>
                <w:webHidden/>
              </w:rPr>
              <w:fldChar w:fldCharType="begin"/>
            </w:r>
            <w:r>
              <w:rPr>
                <w:noProof/>
                <w:webHidden/>
              </w:rPr>
              <w:instrText xml:space="preserve"> PAGEREF _Toc8299885 \h </w:instrText>
            </w:r>
            <w:r>
              <w:rPr>
                <w:noProof/>
                <w:webHidden/>
              </w:rPr>
            </w:r>
            <w:r>
              <w:rPr>
                <w:noProof/>
                <w:webHidden/>
              </w:rPr>
              <w:fldChar w:fldCharType="separate"/>
            </w:r>
            <w:r w:rsidR="009E1CD6">
              <w:rPr>
                <w:noProof/>
                <w:webHidden/>
              </w:rPr>
              <w:t>5</w:t>
            </w:r>
            <w:r>
              <w:rPr>
                <w:noProof/>
                <w:webHidden/>
              </w:rPr>
              <w:fldChar w:fldCharType="end"/>
            </w:r>
          </w:hyperlink>
        </w:p>
        <w:p w:rsidR="009F67A3" w:rsidRDefault="009F67A3">
          <w:pPr>
            <w:pStyle w:val="TOC1"/>
            <w:tabs>
              <w:tab w:val="right" w:leader="dot" w:pos="9350"/>
            </w:tabs>
            <w:rPr>
              <w:rFonts w:cstheme="minorBidi"/>
              <w:noProof/>
            </w:rPr>
          </w:pPr>
          <w:hyperlink w:anchor="_Toc8299886" w:history="1">
            <w:r w:rsidRPr="00AC17A9">
              <w:rPr>
                <w:rStyle w:val="Hyperlink"/>
                <w:noProof/>
              </w:rPr>
              <w:t>ELIGIBLE APPLICANTS</w:t>
            </w:r>
            <w:r>
              <w:rPr>
                <w:noProof/>
                <w:webHidden/>
              </w:rPr>
              <w:tab/>
            </w:r>
            <w:r>
              <w:rPr>
                <w:noProof/>
                <w:webHidden/>
              </w:rPr>
              <w:fldChar w:fldCharType="begin"/>
            </w:r>
            <w:r>
              <w:rPr>
                <w:noProof/>
                <w:webHidden/>
              </w:rPr>
              <w:instrText xml:space="preserve"> PAGEREF _Toc8299886 \h </w:instrText>
            </w:r>
            <w:r>
              <w:rPr>
                <w:noProof/>
                <w:webHidden/>
              </w:rPr>
            </w:r>
            <w:r>
              <w:rPr>
                <w:noProof/>
                <w:webHidden/>
              </w:rPr>
              <w:fldChar w:fldCharType="separate"/>
            </w:r>
            <w:r w:rsidR="009E1CD6">
              <w:rPr>
                <w:noProof/>
                <w:webHidden/>
              </w:rPr>
              <w:t>5</w:t>
            </w:r>
            <w:r>
              <w:rPr>
                <w:noProof/>
                <w:webHidden/>
              </w:rPr>
              <w:fldChar w:fldCharType="end"/>
            </w:r>
          </w:hyperlink>
        </w:p>
        <w:p w:rsidR="009F67A3" w:rsidRDefault="009F67A3">
          <w:pPr>
            <w:pStyle w:val="TOC2"/>
            <w:tabs>
              <w:tab w:val="right" w:leader="dot" w:pos="9350"/>
            </w:tabs>
            <w:rPr>
              <w:rFonts w:cstheme="minorBidi"/>
              <w:noProof/>
            </w:rPr>
          </w:pPr>
          <w:hyperlink w:anchor="_Toc8299887" w:history="1">
            <w:r w:rsidRPr="00AC17A9">
              <w:rPr>
                <w:rStyle w:val="Hyperlink"/>
                <w:noProof/>
              </w:rPr>
              <w:t>New Applicants</w:t>
            </w:r>
            <w:r>
              <w:rPr>
                <w:noProof/>
                <w:webHidden/>
              </w:rPr>
              <w:tab/>
            </w:r>
            <w:r>
              <w:rPr>
                <w:noProof/>
                <w:webHidden/>
              </w:rPr>
              <w:fldChar w:fldCharType="begin"/>
            </w:r>
            <w:r>
              <w:rPr>
                <w:noProof/>
                <w:webHidden/>
              </w:rPr>
              <w:instrText xml:space="preserve"> PAGEREF _Toc8299887 \h </w:instrText>
            </w:r>
            <w:r>
              <w:rPr>
                <w:noProof/>
                <w:webHidden/>
              </w:rPr>
            </w:r>
            <w:r>
              <w:rPr>
                <w:noProof/>
                <w:webHidden/>
              </w:rPr>
              <w:fldChar w:fldCharType="separate"/>
            </w:r>
            <w:r w:rsidR="009E1CD6">
              <w:rPr>
                <w:noProof/>
                <w:webHidden/>
              </w:rPr>
              <w:t>7</w:t>
            </w:r>
            <w:r>
              <w:rPr>
                <w:noProof/>
                <w:webHidden/>
              </w:rPr>
              <w:fldChar w:fldCharType="end"/>
            </w:r>
          </w:hyperlink>
        </w:p>
        <w:p w:rsidR="009F67A3" w:rsidRDefault="009F67A3">
          <w:pPr>
            <w:pStyle w:val="TOC1"/>
            <w:tabs>
              <w:tab w:val="right" w:leader="dot" w:pos="9350"/>
            </w:tabs>
            <w:rPr>
              <w:rFonts w:cstheme="minorBidi"/>
              <w:noProof/>
            </w:rPr>
          </w:pPr>
          <w:hyperlink w:anchor="_Toc8299888" w:history="1">
            <w:r w:rsidRPr="00AC17A9">
              <w:rPr>
                <w:rStyle w:val="Hyperlink"/>
                <w:noProof/>
              </w:rPr>
              <w:t>FISCAL CONDITIONS</w:t>
            </w:r>
            <w:r>
              <w:rPr>
                <w:noProof/>
                <w:webHidden/>
              </w:rPr>
              <w:tab/>
            </w:r>
            <w:r>
              <w:rPr>
                <w:noProof/>
                <w:webHidden/>
              </w:rPr>
              <w:fldChar w:fldCharType="begin"/>
            </w:r>
            <w:r>
              <w:rPr>
                <w:noProof/>
                <w:webHidden/>
              </w:rPr>
              <w:instrText xml:space="preserve"> PAGEREF _Toc8299888 \h </w:instrText>
            </w:r>
            <w:r>
              <w:rPr>
                <w:noProof/>
                <w:webHidden/>
              </w:rPr>
            </w:r>
            <w:r>
              <w:rPr>
                <w:noProof/>
                <w:webHidden/>
              </w:rPr>
              <w:fldChar w:fldCharType="separate"/>
            </w:r>
            <w:r w:rsidR="009E1CD6">
              <w:rPr>
                <w:noProof/>
                <w:webHidden/>
              </w:rPr>
              <w:t>8</w:t>
            </w:r>
            <w:r>
              <w:rPr>
                <w:noProof/>
                <w:webHidden/>
              </w:rPr>
              <w:fldChar w:fldCharType="end"/>
            </w:r>
          </w:hyperlink>
        </w:p>
        <w:p w:rsidR="009F67A3" w:rsidRDefault="009F67A3">
          <w:pPr>
            <w:pStyle w:val="TOC2"/>
            <w:tabs>
              <w:tab w:val="right" w:leader="dot" w:pos="9350"/>
            </w:tabs>
            <w:rPr>
              <w:rFonts w:cstheme="minorBidi"/>
              <w:noProof/>
            </w:rPr>
          </w:pPr>
          <w:hyperlink w:anchor="_Toc8299889" w:history="1">
            <w:r w:rsidRPr="00AC17A9">
              <w:rPr>
                <w:rStyle w:val="Hyperlink"/>
                <w:noProof/>
              </w:rPr>
              <w:t>Non-Supplanting</w:t>
            </w:r>
            <w:r>
              <w:rPr>
                <w:noProof/>
                <w:webHidden/>
              </w:rPr>
              <w:tab/>
            </w:r>
            <w:r>
              <w:rPr>
                <w:noProof/>
                <w:webHidden/>
              </w:rPr>
              <w:fldChar w:fldCharType="begin"/>
            </w:r>
            <w:r>
              <w:rPr>
                <w:noProof/>
                <w:webHidden/>
              </w:rPr>
              <w:instrText xml:space="preserve"> PAGEREF _Toc8299889 \h </w:instrText>
            </w:r>
            <w:r>
              <w:rPr>
                <w:noProof/>
                <w:webHidden/>
              </w:rPr>
            </w:r>
            <w:r>
              <w:rPr>
                <w:noProof/>
                <w:webHidden/>
              </w:rPr>
              <w:fldChar w:fldCharType="separate"/>
            </w:r>
            <w:r w:rsidR="009E1CD6">
              <w:rPr>
                <w:noProof/>
                <w:webHidden/>
              </w:rPr>
              <w:t>8</w:t>
            </w:r>
            <w:r>
              <w:rPr>
                <w:noProof/>
                <w:webHidden/>
              </w:rPr>
              <w:fldChar w:fldCharType="end"/>
            </w:r>
          </w:hyperlink>
        </w:p>
        <w:p w:rsidR="009F67A3" w:rsidRDefault="009F67A3">
          <w:pPr>
            <w:pStyle w:val="TOC2"/>
            <w:tabs>
              <w:tab w:val="right" w:leader="dot" w:pos="9350"/>
            </w:tabs>
            <w:rPr>
              <w:rFonts w:cstheme="minorBidi"/>
              <w:noProof/>
            </w:rPr>
          </w:pPr>
          <w:hyperlink w:anchor="_Toc8299890" w:history="1">
            <w:r w:rsidRPr="00AC17A9">
              <w:rPr>
                <w:rStyle w:val="Hyperlink"/>
                <w:noProof/>
              </w:rPr>
              <w:t>Allowable Costs</w:t>
            </w:r>
            <w:r>
              <w:rPr>
                <w:noProof/>
                <w:webHidden/>
              </w:rPr>
              <w:tab/>
            </w:r>
            <w:r>
              <w:rPr>
                <w:noProof/>
                <w:webHidden/>
              </w:rPr>
              <w:fldChar w:fldCharType="begin"/>
            </w:r>
            <w:r>
              <w:rPr>
                <w:noProof/>
                <w:webHidden/>
              </w:rPr>
              <w:instrText xml:space="preserve"> PAGEREF _Toc8299890 \h </w:instrText>
            </w:r>
            <w:r>
              <w:rPr>
                <w:noProof/>
                <w:webHidden/>
              </w:rPr>
            </w:r>
            <w:r>
              <w:rPr>
                <w:noProof/>
                <w:webHidden/>
              </w:rPr>
              <w:fldChar w:fldCharType="separate"/>
            </w:r>
            <w:r w:rsidR="009E1CD6">
              <w:rPr>
                <w:noProof/>
                <w:webHidden/>
              </w:rPr>
              <w:t>8</w:t>
            </w:r>
            <w:r>
              <w:rPr>
                <w:noProof/>
                <w:webHidden/>
              </w:rPr>
              <w:fldChar w:fldCharType="end"/>
            </w:r>
          </w:hyperlink>
        </w:p>
        <w:p w:rsidR="009F67A3" w:rsidRDefault="009F67A3">
          <w:pPr>
            <w:pStyle w:val="TOC2"/>
            <w:tabs>
              <w:tab w:val="right" w:leader="dot" w:pos="9350"/>
            </w:tabs>
            <w:rPr>
              <w:rFonts w:cstheme="minorBidi"/>
              <w:noProof/>
            </w:rPr>
          </w:pPr>
          <w:hyperlink w:anchor="_Toc8299891" w:history="1">
            <w:r w:rsidRPr="00AC17A9">
              <w:rPr>
                <w:rStyle w:val="Hyperlink"/>
                <w:noProof/>
              </w:rPr>
              <w:t>Unallowable Costs</w:t>
            </w:r>
            <w:r>
              <w:rPr>
                <w:noProof/>
                <w:webHidden/>
              </w:rPr>
              <w:tab/>
            </w:r>
            <w:r>
              <w:rPr>
                <w:noProof/>
                <w:webHidden/>
              </w:rPr>
              <w:fldChar w:fldCharType="begin"/>
            </w:r>
            <w:r>
              <w:rPr>
                <w:noProof/>
                <w:webHidden/>
              </w:rPr>
              <w:instrText xml:space="preserve"> PAGEREF _Toc8299891 \h </w:instrText>
            </w:r>
            <w:r>
              <w:rPr>
                <w:noProof/>
                <w:webHidden/>
              </w:rPr>
            </w:r>
            <w:r>
              <w:rPr>
                <w:noProof/>
                <w:webHidden/>
              </w:rPr>
              <w:fldChar w:fldCharType="separate"/>
            </w:r>
            <w:r w:rsidR="009E1CD6">
              <w:rPr>
                <w:noProof/>
                <w:webHidden/>
              </w:rPr>
              <w:t>9</w:t>
            </w:r>
            <w:r>
              <w:rPr>
                <w:noProof/>
                <w:webHidden/>
              </w:rPr>
              <w:fldChar w:fldCharType="end"/>
            </w:r>
          </w:hyperlink>
        </w:p>
        <w:p w:rsidR="009F67A3" w:rsidRDefault="009F67A3">
          <w:pPr>
            <w:pStyle w:val="TOC2"/>
            <w:tabs>
              <w:tab w:val="right" w:leader="dot" w:pos="9350"/>
            </w:tabs>
            <w:rPr>
              <w:rFonts w:cstheme="minorBidi"/>
              <w:noProof/>
            </w:rPr>
          </w:pPr>
          <w:hyperlink w:anchor="_Toc8299892" w:history="1">
            <w:r w:rsidRPr="00AC17A9">
              <w:rPr>
                <w:rStyle w:val="Hyperlink"/>
                <w:noProof/>
              </w:rPr>
              <w:t>Indirect Costs</w:t>
            </w:r>
            <w:r>
              <w:rPr>
                <w:noProof/>
                <w:webHidden/>
              </w:rPr>
              <w:tab/>
            </w:r>
            <w:r>
              <w:rPr>
                <w:noProof/>
                <w:webHidden/>
              </w:rPr>
              <w:fldChar w:fldCharType="begin"/>
            </w:r>
            <w:r>
              <w:rPr>
                <w:noProof/>
                <w:webHidden/>
              </w:rPr>
              <w:instrText xml:space="preserve"> PAGEREF _Toc8299892 \h </w:instrText>
            </w:r>
            <w:r>
              <w:rPr>
                <w:noProof/>
                <w:webHidden/>
              </w:rPr>
            </w:r>
            <w:r>
              <w:rPr>
                <w:noProof/>
                <w:webHidden/>
              </w:rPr>
              <w:fldChar w:fldCharType="separate"/>
            </w:r>
            <w:r w:rsidR="009E1CD6">
              <w:rPr>
                <w:noProof/>
                <w:webHidden/>
              </w:rPr>
              <w:t>10</w:t>
            </w:r>
            <w:r>
              <w:rPr>
                <w:noProof/>
                <w:webHidden/>
              </w:rPr>
              <w:fldChar w:fldCharType="end"/>
            </w:r>
          </w:hyperlink>
        </w:p>
        <w:p w:rsidR="009F67A3" w:rsidRDefault="009F67A3">
          <w:pPr>
            <w:pStyle w:val="TOC2"/>
            <w:tabs>
              <w:tab w:val="right" w:leader="dot" w:pos="9350"/>
            </w:tabs>
            <w:rPr>
              <w:rFonts w:cstheme="minorBidi"/>
              <w:noProof/>
            </w:rPr>
          </w:pPr>
          <w:hyperlink w:anchor="_Toc8299893" w:history="1">
            <w:r w:rsidRPr="00AC17A9">
              <w:rPr>
                <w:rStyle w:val="Hyperlink"/>
                <w:noProof/>
              </w:rPr>
              <w:t>Program Income</w:t>
            </w:r>
            <w:r>
              <w:rPr>
                <w:noProof/>
                <w:webHidden/>
              </w:rPr>
              <w:tab/>
            </w:r>
            <w:r>
              <w:rPr>
                <w:noProof/>
                <w:webHidden/>
              </w:rPr>
              <w:fldChar w:fldCharType="begin"/>
            </w:r>
            <w:r>
              <w:rPr>
                <w:noProof/>
                <w:webHidden/>
              </w:rPr>
              <w:instrText xml:space="preserve"> PAGEREF _Toc8299893 \h </w:instrText>
            </w:r>
            <w:r>
              <w:rPr>
                <w:noProof/>
                <w:webHidden/>
              </w:rPr>
            </w:r>
            <w:r>
              <w:rPr>
                <w:noProof/>
                <w:webHidden/>
              </w:rPr>
              <w:fldChar w:fldCharType="separate"/>
            </w:r>
            <w:r w:rsidR="009E1CD6">
              <w:rPr>
                <w:noProof/>
                <w:webHidden/>
              </w:rPr>
              <w:t>11</w:t>
            </w:r>
            <w:r>
              <w:rPr>
                <w:noProof/>
                <w:webHidden/>
              </w:rPr>
              <w:fldChar w:fldCharType="end"/>
            </w:r>
          </w:hyperlink>
        </w:p>
        <w:p w:rsidR="009F67A3" w:rsidRDefault="009F67A3">
          <w:pPr>
            <w:pStyle w:val="TOC2"/>
            <w:tabs>
              <w:tab w:val="right" w:leader="dot" w:pos="9350"/>
            </w:tabs>
            <w:rPr>
              <w:rFonts w:cstheme="minorBidi"/>
              <w:noProof/>
            </w:rPr>
          </w:pPr>
          <w:hyperlink w:anchor="_Toc8299894" w:history="1">
            <w:r w:rsidRPr="00AC17A9">
              <w:rPr>
                <w:rStyle w:val="Hyperlink"/>
                <w:noProof/>
              </w:rPr>
              <w:t>Fiscal Administration</w:t>
            </w:r>
            <w:r>
              <w:rPr>
                <w:noProof/>
                <w:webHidden/>
              </w:rPr>
              <w:tab/>
            </w:r>
            <w:r>
              <w:rPr>
                <w:noProof/>
                <w:webHidden/>
              </w:rPr>
              <w:fldChar w:fldCharType="begin"/>
            </w:r>
            <w:r>
              <w:rPr>
                <w:noProof/>
                <w:webHidden/>
              </w:rPr>
              <w:instrText xml:space="preserve"> PAGEREF _Toc8299894 \h </w:instrText>
            </w:r>
            <w:r>
              <w:rPr>
                <w:noProof/>
                <w:webHidden/>
              </w:rPr>
            </w:r>
            <w:r>
              <w:rPr>
                <w:noProof/>
                <w:webHidden/>
              </w:rPr>
              <w:fldChar w:fldCharType="separate"/>
            </w:r>
            <w:r w:rsidR="009E1CD6">
              <w:rPr>
                <w:noProof/>
                <w:webHidden/>
              </w:rPr>
              <w:t>11</w:t>
            </w:r>
            <w:r>
              <w:rPr>
                <w:noProof/>
                <w:webHidden/>
              </w:rPr>
              <w:fldChar w:fldCharType="end"/>
            </w:r>
          </w:hyperlink>
        </w:p>
        <w:p w:rsidR="009F67A3" w:rsidRDefault="009F67A3">
          <w:pPr>
            <w:pStyle w:val="TOC2"/>
            <w:tabs>
              <w:tab w:val="right" w:leader="dot" w:pos="9350"/>
            </w:tabs>
            <w:rPr>
              <w:rFonts w:cstheme="minorBidi"/>
              <w:noProof/>
            </w:rPr>
          </w:pPr>
          <w:hyperlink w:anchor="_Toc8299895" w:history="1">
            <w:r w:rsidRPr="00AC17A9">
              <w:rPr>
                <w:rStyle w:val="Hyperlink"/>
                <w:noProof/>
              </w:rPr>
              <w:t>Subrecipient Accounting System</w:t>
            </w:r>
            <w:r>
              <w:rPr>
                <w:noProof/>
                <w:webHidden/>
              </w:rPr>
              <w:tab/>
            </w:r>
            <w:r>
              <w:rPr>
                <w:noProof/>
                <w:webHidden/>
              </w:rPr>
              <w:fldChar w:fldCharType="begin"/>
            </w:r>
            <w:r>
              <w:rPr>
                <w:noProof/>
                <w:webHidden/>
              </w:rPr>
              <w:instrText xml:space="preserve"> PAGEREF _Toc8299895 \h </w:instrText>
            </w:r>
            <w:r>
              <w:rPr>
                <w:noProof/>
                <w:webHidden/>
              </w:rPr>
            </w:r>
            <w:r>
              <w:rPr>
                <w:noProof/>
                <w:webHidden/>
              </w:rPr>
              <w:fldChar w:fldCharType="separate"/>
            </w:r>
            <w:r w:rsidR="009E1CD6">
              <w:rPr>
                <w:noProof/>
                <w:webHidden/>
              </w:rPr>
              <w:t>11</w:t>
            </w:r>
            <w:r>
              <w:rPr>
                <w:noProof/>
                <w:webHidden/>
              </w:rPr>
              <w:fldChar w:fldCharType="end"/>
            </w:r>
          </w:hyperlink>
        </w:p>
        <w:p w:rsidR="009F67A3" w:rsidRDefault="009F67A3">
          <w:pPr>
            <w:pStyle w:val="TOC2"/>
            <w:tabs>
              <w:tab w:val="right" w:leader="dot" w:pos="9350"/>
            </w:tabs>
            <w:rPr>
              <w:rFonts w:cstheme="minorBidi"/>
              <w:noProof/>
            </w:rPr>
          </w:pPr>
          <w:hyperlink w:anchor="_Toc8299896" w:history="1">
            <w:r w:rsidRPr="00AC17A9">
              <w:rPr>
                <w:rStyle w:val="Hyperlink"/>
                <w:noProof/>
              </w:rPr>
              <w:t>Audit</w:t>
            </w:r>
            <w:r>
              <w:rPr>
                <w:noProof/>
                <w:webHidden/>
              </w:rPr>
              <w:tab/>
            </w:r>
            <w:r>
              <w:rPr>
                <w:noProof/>
                <w:webHidden/>
              </w:rPr>
              <w:fldChar w:fldCharType="begin"/>
            </w:r>
            <w:r>
              <w:rPr>
                <w:noProof/>
                <w:webHidden/>
              </w:rPr>
              <w:instrText xml:space="preserve"> PAGEREF _Toc8299896 \h </w:instrText>
            </w:r>
            <w:r>
              <w:rPr>
                <w:noProof/>
                <w:webHidden/>
              </w:rPr>
            </w:r>
            <w:r>
              <w:rPr>
                <w:noProof/>
                <w:webHidden/>
              </w:rPr>
              <w:fldChar w:fldCharType="separate"/>
            </w:r>
            <w:r w:rsidR="009E1CD6">
              <w:rPr>
                <w:noProof/>
                <w:webHidden/>
              </w:rPr>
              <w:t>12</w:t>
            </w:r>
            <w:r>
              <w:rPr>
                <w:noProof/>
                <w:webHidden/>
              </w:rPr>
              <w:fldChar w:fldCharType="end"/>
            </w:r>
          </w:hyperlink>
        </w:p>
        <w:p w:rsidR="009F67A3" w:rsidRDefault="009F67A3">
          <w:pPr>
            <w:pStyle w:val="TOC2"/>
            <w:tabs>
              <w:tab w:val="right" w:leader="dot" w:pos="9350"/>
            </w:tabs>
            <w:rPr>
              <w:rFonts w:cstheme="minorBidi"/>
              <w:noProof/>
            </w:rPr>
          </w:pPr>
          <w:hyperlink w:anchor="_Toc8299897" w:history="1">
            <w:r w:rsidRPr="00AC17A9">
              <w:rPr>
                <w:rStyle w:val="Hyperlink"/>
                <w:noProof/>
              </w:rPr>
              <w:t>Unencumbered/Unexpended Funds</w:t>
            </w:r>
            <w:r>
              <w:rPr>
                <w:noProof/>
                <w:webHidden/>
              </w:rPr>
              <w:tab/>
            </w:r>
            <w:r>
              <w:rPr>
                <w:noProof/>
                <w:webHidden/>
              </w:rPr>
              <w:fldChar w:fldCharType="begin"/>
            </w:r>
            <w:r>
              <w:rPr>
                <w:noProof/>
                <w:webHidden/>
              </w:rPr>
              <w:instrText xml:space="preserve"> PAGEREF _Toc8299897 \h </w:instrText>
            </w:r>
            <w:r>
              <w:rPr>
                <w:noProof/>
                <w:webHidden/>
              </w:rPr>
            </w:r>
            <w:r>
              <w:rPr>
                <w:noProof/>
                <w:webHidden/>
              </w:rPr>
              <w:fldChar w:fldCharType="separate"/>
            </w:r>
            <w:r w:rsidR="009E1CD6">
              <w:rPr>
                <w:noProof/>
                <w:webHidden/>
              </w:rPr>
              <w:t>12</w:t>
            </w:r>
            <w:r>
              <w:rPr>
                <w:noProof/>
                <w:webHidden/>
              </w:rPr>
              <w:fldChar w:fldCharType="end"/>
            </w:r>
          </w:hyperlink>
        </w:p>
        <w:p w:rsidR="009F67A3" w:rsidRDefault="009F67A3">
          <w:pPr>
            <w:pStyle w:val="TOC2"/>
            <w:tabs>
              <w:tab w:val="right" w:leader="dot" w:pos="9350"/>
            </w:tabs>
            <w:rPr>
              <w:rFonts w:cstheme="minorBidi"/>
              <w:noProof/>
            </w:rPr>
          </w:pPr>
          <w:hyperlink w:anchor="_Toc8299898" w:history="1">
            <w:r w:rsidRPr="00AC17A9">
              <w:rPr>
                <w:rStyle w:val="Hyperlink"/>
                <w:noProof/>
              </w:rPr>
              <w:t>Loss, Damage, Theft of Equipment</w:t>
            </w:r>
            <w:r>
              <w:rPr>
                <w:noProof/>
                <w:webHidden/>
              </w:rPr>
              <w:tab/>
            </w:r>
            <w:r>
              <w:rPr>
                <w:noProof/>
                <w:webHidden/>
              </w:rPr>
              <w:fldChar w:fldCharType="begin"/>
            </w:r>
            <w:r>
              <w:rPr>
                <w:noProof/>
                <w:webHidden/>
              </w:rPr>
              <w:instrText xml:space="preserve"> PAGEREF _Toc8299898 \h </w:instrText>
            </w:r>
            <w:r>
              <w:rPr>
                <w:noProof/>
                <w:webHidden/>
              </w:rPr>
            </w:r>
            <w:r>
              <w:rPr>
                <w:noProof/>
                <w:webHidden/>
              </w:rPr>
              <w:fldChar w:fldCharType="separate"/>
            </w:r>
            <w:r w:rsidR="009E1CD6">
              <w:rPr>
                <w:noProof/>
                <w:webHidden/>
              </w:rPr>
              <w:t>12</w:t>
            </w:r>
            <w:r>
              <w:rPr>
                <w:noProof/>
                <w:webHidden/>
              </w:rPr>
              <w:fldChar w:fldCharType="end"/>
            </w:r>
          </w:hyperlink>
        </w:p>
        <w:p w:rsidR="009F67A3" w:rsidRDefault="009F67A3">
          <w:pPr>
            <w:pStyle w:val="TOC1"/>
            <w:tabs>
              <w:tab w:val="right" w:leader="dot" w:pos="9350"/>
            </w:tabs>
            <w:rPr>
              <w:rFonts w:cstheme="minorBidi"/>
              <w:noProof/>
            </w:rPr>
          </w:pPr>
          <w:hyperlink w:anchor="_Toc8299899" w:history="1">
            <w:r w:rsidRPr="00AC17A9">
              <w:rPr>
                <w:rStyle w:val="Hyperlink"/>
                <w:noProof/>
              </w:rPr>
              <w:t>CONFERENCES</w:t>
            </w:r>
            <w:r>
              <w:rPr>
                <w:noProof/>
                <w:webHidden/>
              </w:rPr>
              <w:tab/>
            </w:r>
            <w:r>
              <w:rPr>
                <w:noProof/>
                <w:webHidden/>
              </w:rPr>
              <w:fldChar w:fldCharType="begin"/>
            </w:r>
            <w:r>
              <w:rPr>
                <w:noProof/>
                <w:webHidden/>
              </w:rPr>
              <w:instrText xml:space="preserve"> PAGEREF _Toc8299899 \h </w:instrText>
            </w:r>
            <w:r>
              <w:rPr>
                <w:noProof/>
                <w:webHidden/>
              </w:rPr>
            </w:r>
            <w:r>
              <w:rPr>
                <w:noProof/>
                <w:webHidden/>
              </w:rPr>
              <w:fldChar w:fldCharType="separate"/>
            </w:r>
            <w:r w:rsidR="009E1CD6">
              <w:rPr>
                <w:noProof/>
                <w:webHidden/>
              </w:rPr>
              <w:t>12</w:t>
            </w:r>
            <w:r>
              <w:rPr>
                <w:noProof/>
                <w:webHidden/>
              </w:rPr>
              <w:fldChar w:fldCharType="end"/>
            </w:r>
          </w:hyperlink>
        </w:p>
        <w:p w:rsidR="009F67A3" w:rsidRDefault="009F67A3">
          <w:pPr>
            <w:pStyle w:val="TOC2"/>
            <w:tabs>
              <w:tab w:val="right" w:leader="dot" w:pos="9350"/>
            </w:tabs>
            <w:rPr>
              <w:rFonts w:cstheme="minorBidi"/>
              <w:noProof/>
            </w:rPr>
          </w:pPr>
          <w:hyperlink w:anchor="_Toc8299900" w:history="1">
            <w:r w:rsidRPr="00AC17A9">
              <w:rPr>
                <w:rStyle w:val="Hyperlink"/>
                <w:noProof/>
              </w:rPr>
              <w:t>Trinkets</w:t>
            </w:r>
            <w:r>
              <w:rPr>
                <w:noProof/>
                <w:webHidden/>
              </w:rPr>
              <w:tab/>
            </w:r>
            <w:r>
              <w:rPr>
                <w:noProof/>
                <w:webHidden/>
              </w:rPr>
              <w:fldChar w:fldCharType="begin"/>
            </w:r>
            <w:r>
              <w:rPr>
                <w:noProof/>
                <w:webHidden/>
              </w:rPr>
              <w:instrText xml:space="preserve"> PAGEREF _Toc8299900 \h </w:instrText>
            </w:r>
            <w:r>
              <w:rPr>
                <w:noProof/>
                <w:webHidden/>
              </w:rPr>
            </w:r>
            <w:r>
              <w:rPr>
                <w:noProof/>
                <w:webHidden/>
              </w:rPr>
              <w:fldChar w:fldCharType="separate"/>
            </w:r>
            <w:r w:rsidR="009E1CD6">
              <w:rPr>
                <w:noProof/>
                <w:webHidden/>
              </w:rPr>
              <w:t>13</w:t>
            </w:r>
            <w:r>
              <w:rPr>
                <w:noProof/>
                <w:webHidden/>
              </w:rPr>
              <w:fldChar w:fldCharType="end"/>
            </w:r>
          </w:hyperlink>
        </w:p>
        <w:p w:rsidR="009F67A3" w:rsidRDefault="009F67A3">
          <w:pPr>
            <w:pStyle w:val="TOC2"/>
            <w:tabs>
              <w:tab w:val="right" w:leader="dot" w:pos="9350"/>
            </w:tabs>
            <w:rPr>
              <w:rFonts w:cstheme="minorBidi"/>
              <w:noProof/>
            </w:rPr>
          </w:pPr>
          <w:hyperlink w:anchor="_Toc8299901" w:history="1">
            <w:r w:rsidRPr="00AC17A9">
              <w:rPr>
                <w:rStyle w:val="Hyperlink"/>
                <w:noProof/>
              </w:rPr>
              <w:t>Food and Beverage Expenditures</w:t>
            </w:r>
            <w:r>
              <w:rPr>
                <w:noProof/>
                <w:webHidden/>
              </w:rPr>
              <w:tab/>
            </w:r>
            <w:r>
              <w:rPr>
                <w:noProof/>
                <w:webHidden/>
              </w:rPr>
              <w:fldChar w:fldCharType="begin"/>
            </w:r>
            <w:r>
              <w:rPr>
                <w:noProof/>
                <w:webHidden/>
              </w:rPr>
              <w:instrText xml:space="preserve"> PAGEREF _Toc8299901 \h </w:instrText>
            </w:r>
            <w:r>
              <w:rPr>
                <w:noProof/>
                <w:webHidden/>
              </w:rPr>
            </w:r>
            <w:r>
              <w:rPr>
                <w:noProof/>
                <w:webHidden/>
              </w:rPr>
              <w:fldChar w:fldCharType="separate"/>
            </w:r>
            <w:r w:rsidR="009E1CD6">
              <w:rPr>
                <w:noProof/>
                <w:webHidden/>
              </w:rPr>
              <w:t>13</w:t>
            </w:r>
            <w:r>
              <w:rPr>
                <w:noProof/>
                <w:webHidden/>
              </w:rPr>
              <w:fldChar w:fldCharType="end"/>
            </w:r>
          </w:hyperlink>
        </w:p>
        <w:p w:rsidR="009F67A3" w:rsidRDefault="009F67A3">
          <w:pPr>
            <w:pStyle w:val="TOC2"/>
            <w:tabs>
              <w:tab w:val="right" w:leader="dot" w:pos="9350"/>
            </w:tabs>
            <w:rPr>
              <w:rFonts w:cstheme="minorBidi"/>
              <w:noProof/>
            </w:rPr>
          </w:pPr>
          <w:hyperlink w:anchor="_Toc8299902" w:history="1">
            <w:r w:rsidRPr="00AC17A9">
              <w:rPr>
                <w:rStyle w:val="Hyperlink"/>
                <w:noProof/>
              </w:rPr>
              <w:t>Consultants</w:t>
            </w:r>
            <w:r>
              <w:rPr>
                <w:noProof/>
                <w:webHidden/>
              </w:rPr>
              <w:tab/>
            </w:r>
            <w:r>
              <w:rPr>
                <w:noProof/>
                <w:webHidden/>
              </w:rPr>
              <w:fldChar w:fldCharType="begin"/>
            </w:r>
            <w:r>
              <w:rPr>
                <w:noProof/>
                <w:webHidden/>
              </w:rPr>
              <w:instrText xml:space="preserve"> PAGEREF _Toc8299902 \h </w:instrText>
            </w:r>
            <w:r>
              <w:rPr>
                <w:noProof/>
                <w:webHidden/>
              </w:rPr>
            </w:r>
            <w:r>
              <w:rPr>
                <w:noProof/>
                <w:webHidden/>
              </w:rPr>
              <w:fldChar w:fldCharType="separate"/>
            </w:r>
            <w:r w:rsidR="009E1CD6">
              <w:rPr>
                <w:noProof/>
                <w:webHidden/>
              </w:rPr>
              <w:t>13</w:t>
            </w:r>
            <w:r>
              <w:rPr>
                <w:noProof/>
                <w:webHidden/>
              </w:rPr>
              <w:fldChar w:fldCharType="end"/>
            </w:r>
          </w:hyperlink>
        </w:p>
        <w:p w:rsidR="009F67A3" w:rsidRDefault="009F67A3">
          <w:pPr>
            <w:pStyle w:val="TOC1"/>
            <w:tabs>
              <w:tab w:val="right" w:leader="dot" w:pos="9350"/>
            </w:tabs>
            <w:rPr>
              <w:rFonts w:cstheme="minorBidi"/>
              <w:noProof/>
            </w:rPr>
          </w:pPr>
          <w:hyperlink w:anchor="_Toc8299903" w:history="1">
            <w:r w:rsidRPr="00AC17A9">
              <w:rPr>
                <w:rStyle w:val="Hyperlink"/>
                <w:noProof/>
              </w:rPr>
              <w:t>Modification and Extension of Approved Budget</w:t>
            </w:r>
            <w:r>
              <w:rPr>
                <w:noProof/>
                <w:webHidden/>
              </w:rPr>
              <w:tab/>
            </w:r>
            <w:r>
              <w:rPr>
                <w:noProof/>
                <w:webHidden/>
              </w:rPr>
              <w:fldChar w:fldCharType="begin"/>
            </w:r>
            <w:r>
              <w:rPr>
                <w:noProof/>
                <w:webHidden/>
              </w:rPr>
              <w:instrText xml:space="preserve"> PAGEREF _Toc8299903 \h </w:instrText>
            </w:r>
            <w:r>
              <w:rPr>
                <w:noProof/>
                <w:webHidden/>
              </w:rPr>
            </w:r>
            <w:r>
              <w:rPr>
                <w:noProof/>
                <w:webHidden/>
              </w:rPr>
              <w:fldChar w:fldCharType="separate"/>
            </w:r>
            <w:r w:rsidR="009E1CD6">
              <w:rPr>
                <w:noProof/>
                <w:webHidden/>
              </w:rPr>
              <w:t>14</w:t>
            </w:r>
            <w:r>
              <w:rPr>
                <w:noProof/>
                <w:webHidden/>
              </w:rPr>
              <w:fldChar w:fldCharType="end"/>
            </w:r>
          </w:hyperlink>
        </w:p>
        <w:p w:rsidR="009F67A3" w:rsidRDefault="009F67A3">
          <w:pPr>
            <w:pStyle w:val="TOC1"/>
            <w:tabs>
              <w:tab w:val="right" w:leader="dot" w:pos="9350"/>
            </w:tabs>
            <w:rPr>
              <w:rFonts w:cstheme="minorBidi"/>
              <w:noProof/>
            </w:rPr>
          </w:pPr>
          <w:hyperlink w:anchor="_Toc8299904" w:history="1">
            <w:r w:rsidRPr="00AC17A9">
              <w:rPr>
                <w:rStyle w:val="Hyperlink"/>
                <w:noProof/>
              </w:rPr>
              <w:t>SECOND TIER AWARDS</w:t>
            </w:r>
            <w:r>
              <w:rPr>
                <w:noProof/>
                <w:webHidden/>
              </w:rPr>
              <w:tab/>
            </w:r>
            <w:r>
              <w:rPr>
                <w:noProof/>
                <w:webHidden/>
              </w:rPr>
              <w:fldChar w:fldCharType="begin"/>
            </w:r>
            <w:r>
              <w:rPr>
                <w:noProof/>
                <w:webHidden/>
              </w:rPr>
              <w:instrText xml:space="preserve"> PAGEREF _Toc8299904 \h </w:instrText>
            </w:r>
            <w:r>
              <w:rPr>
                <w:noProof/>
                <w:webHidden/>
              </w:rPr>
            </w:r>
            <w:r>
              <w:rPr>
                <w:noProof/>
                <w:webHidden/>
              </w:rPr>
              <w:fldChar w:fldCharType="separate"/>
            </w:r>
            <w:r w:rsidR="009E1CD6">
              <w:rPr>
                <w:noProof/>
                <w:webHidden/>
              </w:rPr>
              <w:t>14</w:t>
            </w:r>
            <w:r>
              <w:rPr>
                <w:noProof/>
                <w:webHidden/>
              </w:rPr>
              <w:fldChar w:fldCharType="end"/>
            </w:r>
          </w:hyperlink>
        </w:p>
        <w:p w:rsidR="009F67A3" w:rsidRDefault="009F67A3">
          <w:pPr>
            <w:pStyle w:val="TOC1"/>
            <w:tabs>
              <w:tab w:val="right" w:leader="dot" w:pos="9350"/>
            </w:tabs>
            <w:rPr>
              <w:rFonts w:cstheme="minorBidi"/>
              <w:noProof/>
            </w:rPr>
          </w:pPr>
          <w:hyperlink w:anchor="_Toc8299905" w:history="1">
            <w:r w:rsidRPr="00AC17A9">
              <w:rPr>
                <w:rStyle w:val="Hyperlink"/>
                <w:noProof/>
              </w:rPr>
              <w:t>REIMBURSEMENT PROCESS</w:t>
            </w:r>
            <w:r>
              <w:rPr>
                <w:noProof/>
                <w:webHidden/>
              </w:rPr>
              <w:tab/>
            </w:r>
            <w:r>
              <w:rPr>
                <w:noProof/>
                <w:webHidden/>
              </w:rPr>
              <w:fldChar w:fldCharType="begin"/>
            </w:r>
            <w:r>
              <w:rPr>
                <w:noProof/>
                <w:webHidden/>
              </w:rPr>
              <w:instrText xml:space="preserve"> PAGEREF _Toc8299905 \h </w:instrText>
            </w:r>
            <w:r>
              <w:rPr>
                <w:noProof/>
                <w:webHidden/>
              </w:rPr>
            </w:r>
            <w:r>
              <w:rPr>
                <w:noProof/>
                <w:webHidden/>
              </w:rPr>
              <w:fldChar w:fldCharType="separate"/>
            </w:r>
            <w:r w:rsidR="009E1CD6">
              <w:rPr>
                <w:noProof/>
                <w:webHidden/>
              </w:rPr>
              <w:t>14</w:t>
            </w:r>
            <w:r>
              <w:rPr>
                <w:noProof/>
                <w:webHidden/>
              </w:rPr>
              <w:fldChar w:fldCharType="end"/>
            </w:r>
          </w:hyperlink>
        </w:p>
        <w:p w:rsidR="009F67A3" w:rsidRDefault="009F67A3">
          <w:pPr>
            <w:pStyle w:val="TOC2"/>
            <w:tabs>
              <w:tab w:val="right" w:leader="dot" w:pos="9350"/>
            </w:tabs>
            <w:rPr>
              <w:rFonts w:cstheme="minorBidi"/>
              <w:noProof/>
            </w:rPr>
          </w:pPr>
          <w:hyperlink w:anchor="_Toc8299906" w:history="1">
            <w:r w:rsidRPr="00AC17A9">
              <w:rPr>
                <w:rStyle w:val="Hyperlink"/>
                <w:noProof/>
              </w:rPr>
              <w:t>Reimbursement</w:t>
            </w:r>
            <w:r>
              <w:rPr>
                <w:noProof/>
                <w:webHidden/>
              </w:rPr>
              <w:tab/>
            </w:r>
            <w:r>
              <w:rPr>
                <w:noProof/>
                <w:webHidden/>
              </w:rPr>
              <w:fldChar w:fldCharType="begin"/>
            </w:r>
            <w:r>
              <w:rPr>
                <w:noProof/>
                <w:webHidden/>
              </w:rPr>
              <w:instrText xml:space="preserve"> PAGEREF _Toc8299906 \h </w:instrText>
            </w:r>
            <w:r>
              <w:rPr>
                <w:noProof/>
                <w:webHidden/>
              </w:rPr>
            </w:r>
            <w:r>
              <w:rPr>
                <w:noProof/>
                <w:webHidden/>
              </w:rPr>
              <w:fldChar w:fldCharType="separate"/>
            </w:r>
            <w:r w:rsidR="009E1CD6">
              <w:rPr>
                <w:noProof/>
                <w:webHidden/>
              </w:rPr>
              <w:t>14</w:t>
            </w:r>
            <w:r>
              <w:rPr>
                <w:noProof/>
                <w:webHidden/>
              </w:rPr>
              <w:fldChar w:fldCharType="end"/>
            </w:r>
          </w:hyperlink>
        </w:p>
        <w:p w:rsidR="009F67A3" w:rsidRDefault="009F67A3">
          <w:pPr>
            <w:pStyle w:val="TOC2"/>
            <w:tabs>
              <w:tab w:val="right" w:leader="dot" w:pos="9350"/>
            </w:tabs>
            <w:rPr>
              <w:rFonts w:cstheme="minorBidi"/>
              <w:noProof/>
            </w:rPr>
          </w:pPr>
          <w:hyperlink w:anchor="_Toc8299907" w:history="1">
            <w:r w:rsidRPr="00AC17A9">
              <w:rPr>
                <w:rStyle w:val="Hyperlink"/>
                <w:noProof/>
              </w:rPr>
              <w:t>Process</w:t>
            </w:r>
            <w:r>
              <w:rPr>
                <w:noProof/>
                <w:webHidden/>
              </w:rPr>
              <w:tab/>
            </w:r>
            <w:r>
              <w:rPr>
                <w:noProof/>
                <w:webHidden/>
              </w:rPr>
              <w:fldChar w:fldCharType="begin"/>
            </w:r>
            <w:r>
              <w:rPr>
                <w:noProof/>
                <w:webHidden/>
              </w:rPr>
              <w:instrText xml:space="preserve"> PAGEREF _Toc8299907 \h </w:instrText>
            </w:r>
            <w:r>
              <w:rPr>
                <w:noProof/>
                <w:webHidden/>
              </w:rPr>
            </w:r>
            <w:r>
              <w:rPr>
                <w:noProof/>
                <w:webHidden/>
              </w:rPr>
              <w:fldChar w:fldCharType="separate"/>
            </w:r>
            <w:r w:rsidR="009E1CD6">
              <w:rPr>
                <w:noProof/>
                <w:webHidden/>
              </w:rPr>
              <w:t>15</w:t>
            </w:r>
            <w:r>
              <w:rPr>
                <w:noProof/>
                <w:webHidden/>
              </w:rPr>
              <w:fldChar w:fldCharType="end"/>
            </w:r>
          </w:hyperlink>
        </w:p>
        <w:p w:rsidR="009F67A3" w:rsidRDefault="009F67A3">
          <w:pPr>
            <w:pStyle w:val="TOC1"/>
            <w:tabs>
              <w:tab w:val="right" w:leader="dot" w:pos="9350"/>
            </w:tabs>
            <w:rPr>
              <w:rFonts w:cstheme="minorBidi"/>
              <w:noProof/>
            </w:rPr>
          </w:pPr>
          <w:hyperlink w:anchor="_Toc8299908" w:history="1">
            <w:r w:rsidRPr="00AC17A9">
              <w:rPr>
                <w:rStyle w:val="Hyperlink"/>
                <w:noProof/>
              </w:rPr>
              <w:t>SUBGRANT MONITORING</w:t>
            </w:r>
            <w:r>
              <w:rPr>
                <w:noProof/>
                <w:webHidden/>
              </w:rPr>
              <w:tab/>
            </w:r>
            <w:r>
              <w:rPr>
                <w:noProof/>
                <w:webHidden/>
              </w:rPr>
              <w:fldChar w:fldCharType="begin"/>
            </w:r>
            <w:r>
              <w:rPr>
                <w:noProof/>
                <w:webHidden/>
              </w:rPr>
              <w:instrText xml:space="preserve"> PAGEREF _Toc8299908 \h </w:instrText>
            </w:r>
            <w:r>
              <w:rPr>
                <w:noProof/>
                <w:webHidden/>
              </w:rPr>
            </w:r>
            <w:r>
              <w:rPr>
                <w:noProof/>
                <w:webHidden/>
              </w:rPr>
              <w:fldChar w:fldCharType="separate"/>
            </w:r>
            <w:r w:rsidR="009E1CD6">
              <w:rPr>
                <w:noProof/>
                <w:webHidden/>
              </w:rPr>
              <w:t>17</w:t>
            </w:r>
            <w:r>
              <w:rPr>
                <w:noProof/>
                <w:webHidden/>
              </w:rPr>
              <w:fldChar w:fldCharType="end"/>
            </w:r>
          </w:hyperlink>
        </w:p>
        <w:p w:rsidR="009F67A3" w:rsidRDefault="009F67A3">
          <w:pPr>
            <w:pStyle w:val="TOC2"/>
            <w:tabs>
              <w:tab w:val="right" w:leader="dot" w:pos="9350"/>
            </w:tabs>
            <w:rPr>
              <w:rFonts w:cstheme="minorBidi"/>
              <w:noProof/>
            </w:rPr>
          </w:pPr>
          <w:hyperlink w:anchor="_Toc8299909" w:history="1">
            <w:r w:rsidRPr="00AC17A9">
              <w:rPr>
                <w:rStyle w:val="Hyperlink"/>
                <w:noProof/>
              </w:rPr>
              <w:t>Purpose</w:t>
            </w:r>
            <w:r>
              <w:rPr>
                <w:noProof/>
                <w:webHidden/>
              </w:rPr>
              <w:tab/>
            </w:r>
            <w:r>
              <w:rPr>
                <w:noProof/>
                <w:webHidden/>
              </w:rPr>
              <w:fldChar w:fldCharType="begin"/>
            </w:r>
            <w:r>
              <w:rPr>
                <w:noProof/>
                <w:webHidden/>
              </w:rPr>
              <w:instrText xml:space="preserve"> PAGEREF _Toc8299909 \h </w:instrText>
            </w:r>
            <w:r>
              <w:rPr>
                <w:noProof/>
                <w:webHidden/>
              </w:rPr>
            </w:r>
            <w:r>
              <w:rPr>
                <w:noProof/>
                <w:webHidden/>
              </w:rPr>
              <w:fldChar w:fldCharType="separate"/>
            </w:r>
            <w:r w:rsidR="009E1CD6">
              <w:rPr>
                <w:noProof/>
                <w:webHidden/>
              </w:rPr>
              <w:t>17</w:t>
            </w:r>
            <w:r>
              <w:rPr>
                <w:noProof/>
                <w:webHidden/>
              </w:rPr>
              <w:fldChar w:fldCharType="end"/>
            </w:r>
          </w:hyperlink>
        </w:p>
        <w:p w:rsidR="009F67A3" w:rsidRDefault="009F67A3">
          <w:pPr>
            <w:pStyle w:val="TOC2"/>
            <w:tabs>
              <w:tab w:val="right" w:leader="dot" w:pos="9350"/>
            </w:tabs>
            <w:rPr>
              <w:rFonts w:cstheme="minorBidi"/>
              <w:noProof/>
            </w:rPr>
          </w:pPr>
          <w:hyperlink w:anchor="_Toc8299910" w:history="1">
            <w:r w:rsidRPr="00AC17A9">
              <w:rPr>
                <w:rStyle w:val="Hyperlink"/>
                <w:noProof/>
              </w:rPr>
              <w:t>Pre-Award Risk Assessment</w:t>
            </w:r>
            <w:r>
              <w:rPr>
                <w:noProof/>
                <w:webHidden/>
              </w:rPr>
              <w:tab/>
            </w:r>
            <w:r>
              <w:rPr>
                <w:noProof/>
                <w:webHidden/>
              </w:rPr>
              <w:fldChar w:fldCharType="begin"/>
            </w:r>
            <w:r>
              <w:rPr>
                <w:noProof/>
                <w:webHidden/>
              </w:rPr>
              <w:instrText xml:space="preserve"> PAGEREF _Toc8299910 \h </w:instrText>
            </w:r>
            <w:r>
              <w:rPr>
                <w:noProof/>
                <w:webHidden/>
              </w:rPr>
            </w:r>
            <w:r>
              <w:rPr>
                <w:noProof/>
                <w:webHidden/>
              </w:rPr>
              <w:fldChar w:fldCharType="separate"/>
            </w:r>
            <w:r w:rsidR="009E1CD6">
              <w:rPr>
                <w:noProof/>
                <w:webHidden/>
              </w:rPr>
              <w:t>17</w:t>
            </w:r>
            <w:r>
              <w:rPr>
                <w:noProof/>
                <w:webHidden/>
              </w:rPr>
              <w:fldChar w:fldCharType="end"/>
            </w:r>
          </w:hyperlink>
        </w:p>
        <w:p w:rsidR="009F67A3" w:rsidRDefault="009F67A3">
          <w:pPr>
            <w:pStyle w:val="TOC2"/>
            <w:tabs>
              <w:tab w:val="right" w:leader="dot" w:pos="9350"/>
            </w:tabs>
            <w:rPr>
              <w:rFonts w:cstheme="minorBidi"/>
              <w:noProof/>
            </w:rPr>
          </w:pPr>
          <w:hyperlink w:anchor="_Toc8299911" w:history="1">
            <w:r w:rsidRPr="00AC17A9">
              <w:rPr>
                <w:rStyle w:val="Hyperlink"/>
                <w:noProof/>
              </w:rPr>
              <w:t>Levels of Monitoring</w:t>
            </w:r>
            <w:r>
              <w:rPr>
                <w:noProof/>
                <w:webHidden/>
              </w:rPr>
              <w:tab/>
            </w:r>
            <w:r>
              <w:rPr>
                <w:noProof/>
                <w:webHidden/>
              </w:rPr>
              <w:fldChar w:fldCharType="begin"/>
            </w:r>
            <w:r>
              <w:rPr>
                <w:noProof/>
                <w:webHidden/>
              </w:rPr>
              <w:instrText xml:space="preserve"> PAGEREF _Toc8299911 \h </w:instrText>
            </w:r>
            <w:r>
              <w:rPr>
                <w:noProof/>
                <w:webHidden/>
              </w:rPr>
            </w:r>
            <w:r>
              <w:rPr>
                <w:noProof/>
                <w:webHidden/>
              </w:rPr>
              <w:fldChar w:fldCharType="separate"/>
            </w:r>
            <w:r w:rsidR="009E1CD6">
              <w:rPr>
                <w:noProof/>
                <w:webHidden/>
              </w:rPr>
              <w:t>18</w:t>
            </w:r>
            <w:r>
              <w:rPr>
                <w:noProof/>
                <w:webHidden/>
              </w:rPr>
              <w:fldChar w:fldCharType="end"/>
            </w:r>
          </w:hyperlink>
        </w:p>
        <w:p w:rsidR="009F67A3" w:rsidRDefault="009F67A3">
          <w:pPr>
            <w:pStyle w:val="TOC3"/>
            <w:tabs>
              <w:tab w:val="right" w:leader="dot" w:pos="9350"/>
            </w:tabs>
            <w:rPr>
              <w:rFonts w:cstheme="minorBidi"/>
              <w:noProof/>
            </w:rPr>
          </w:pPr>
          <w:hyperlink w:anchor="_Toc8299912" w:history="1">
            <w:r w:rsidRPr="00AC17A9">
              <w:rPr>
                <w:rStyle w:val="Hyperlink"/>
                <w:noProof/>
              </w:rPr>
              <w:t>Level 1 Monitoring</w:t>
            </w:r>
            <w:r>
              <w:rPr>
                <w:noProof/>
                <w:webHidden/>
              </w:rPr>
              <w:tab/>
            </w:r>
            <w:r>
              <w:rPr>
                <w:noProof/>
                <w:webHidden/>
              </w:rPr>
              <w:fldChar w:fldCharType="begin"/>
            </w:r>
            <w:r>
              <w:rPr>
                <w:noProof/>
                <w:webHidden/>
              </w:rPr>
              <w:instrText xml:space="preserve"> PAGEREF _Toc8299912 \h </w:instrText>
            </w:r>
            <w:r>
              <w:rPr>
                <w:noProof/>
                <w:webHidden/>
              </w:rPr>
            </w:r>
            <w:r>
              <w:rPr>
                <w:noProof/>
                <w:webHidden/>
              </w:rPr>
              <w:fldChar w:fldCharType="separate"/>
            </w:r>
            <w:r w:rsidR="009E1CD6">
              <w:rPr>
                <w:noProof/>
                <w:webHidden/>
              </w:rPr>
              <w:t>18</w:t>
            </w:r>
            <w:r>
              <w:rPr>
                <w:noProof/>
                <w:webHidden/>
              </w:rPr>
              <w:fldChar w:fldCharType="end"/>
            </w:r>
          </w:hyperlink>
        </w:p>
        <w:p w:rsidR="009F67A3" w:rsidRDefault="009F67A3">
          <w:pPr>
            <w:pStyle w:val="TOC3"/>
            <w:tabs>
              <w:tab w:val="right" w:leader="dot" w:pos="9350"/>
            </w:tabs>
            <w:rPr>
              <w:rFonts w:cstheme="minorBidi"/>
              <w:noProof/>
            </w:rPr>
          </w:pPr>
          <w:hyperlink w:anchor="_Toc8299913" w:history="1">
            <w:r w:rsidRPr="00AC17A9">
              <w:rPr>
                <w:rStyle w:val="Hyperlink"/>
                <w:noProof/>
              </w:rPr>
              <w:t>Level 2 Monitoring</w:t>
            </w:r>
            <w:r>
              <w:rPr>
                <w:noProof/>
                <w:webHidden/>
              </w:rPr>
              <w:tab/>
            </w:r>
            <w:r>
              <w:rPr>
                <w:noProof/>
                <w:webHidden/>
              </w:rPr>
              <w:fldChar w:fldCharType="begin"/>
            </w:r>
            <w:r>
              <w:rPr>
                <w:noProof/>
                <w:webHidden/>
              </w:rPr>
              <w:instrText xml:space="preserve"> PAGEREF _Toc8299913 \h </w:instrText>
            </w:r>
            <w:r>
              <w:rPr>
                <w:noProof/>
                <w:webHidden/>
              </w:rPr>
            </w:r>
            <w:r>
              <w:rPr>
                <w:noProof/>
                <w:webHidden/>
              </w:rPr>
              <w:fldChar w:fldCharType="separate"/>
            </w:r>
            <w:r w:rsidR="009E1CD6">
              <w:rPr>
                <w:noProof/>
                <w:webHidden/>
              </w:rPr>
              <w:t>18</w:t>
            </w:r>
            <w:r>
              <w:rPr>
                <w:noProof/>
                <w:webHidden/>
              </w:rPr>
              <w:fldChar w:fldCharType="end"/>
            </w:r>
          </w:hyperlink>
        </w:p>
        <w:p w:rsidR="009F67A3" w:rsidRDefault="009F67A3">
          <w:pPr>
            <w:pStyle w:val="TOC3"/>
            <w:tabs>
              <w:tab w:val="right" w:leader="dot" w:pos="9350"/>
            </w:tabs>
            <w:rPr>
              <w:rFonts w:cstheme="minorBidi"/>
              <w:noProof/>
            </w:rPr>
          </w:pPr>
          <w:hyperlink w:anchor="_Toc8299914" w:history="1">
            <w:r w:rsidRPr="00AC17A9">
              <w:rPr>
                <w:rStyle w:val="Hyperlink"/>
                <w:noProof/>
              </w:rPr>
              <w:t>Site Visit</w:t>
            </w:r>
            <w:r>
              <w:rPr>
                <w:noProof/>
                <w:webHidden/>
              </w:rPr>
              <w:tab/>
            </w:r>
            <w:r>
              <w:rPr>
                <w:noProof/>
                <w:webHidden/>
              </w:rPr>
              <w:fldChar w:fldCharType="begin"/>
            </w:r>
            <w:r>
              <w:rPr>
                <w:noProof/>
                <w:webHidden/>
              </w:rPr>
              <w:instrText xml:space="preserve"> PAGEREF _Toc8299914 \h </w:instrText>
            </w:r>
            <w:r>
              <w:rPr>
                <w:noProof/>
                <w:webHidden/>
              </w:rPr>
            </w:r>
            <w:r>
              <w:rPr>
                <w:noProof/>
                <w:webHidden/>
              </w:rPr>
              <w:fldChar w:fldCharType="separate"/>
            </w:r>
            <w:r w:rsidR="009E1CD6">
              <w:rPr>
                <w:noProof/>
                <w:webHidden/>
              </w:rPr>
              <w:t>19</w:t>
            </w:r>
            <w:r>
              <w:rPr>
                <w:noProof/>
                <w:webHidden/>
              </w:rPr>
              <w:fldChar w:fldCharType="end"/>
            </w:r>
          </w:hyperlink>
        </w:p>
        <w:p w:rsidR="009F67A3" w:rsidRDefault="009F67A3">
          <w:pPr>
            <w:pStyle w:val="TOC2"/>
            <w:tabs>
              <w:tab w:val="right" w:leader="dot" w:pos="9350"/>
            </w:tabs>
            <w:rPr>
              <w:rFonts w:cstheme="minorBidi"/>
              <w:noProof/>
            </w:rPr>
          </w:pPr>
          <w:hyperlink w:anchor="_Toc8299915" w:history="1">
            <w:r w:rsidRPr="00AC17A9">
              <w:rPr>
                <w:rStyle w:val="Hyperlink"/>
                <w:noProof/>
              </w:rPr>
              <w:t>PMT and Mandatory Reporting</w:t>
            </w:r>
            <w:r>
              <w:rPr>
                <w:noProof/>
                <w:webHidden/>
              </w:rPr>
              <w:tab/>
            </w:r>
            <w:r>
              <w:rPr>
                <w:noProof/>
                <w:webHidden/>
              </w:rPr>
              <w:fldChar w:fldCharType="begin"/>
            </w:r>
            <w:r>
              <w:rPr>
                <w:noProof/>
                <w:webHidden/>
              </w:rPr>
              <w:instrText xml:space="preserve"> PAGEREF _Toc8299915 \h </w:instrText>
            </w:r>
            <w:r>
              <w:rPr>
                <w:noProof/>
                <w:webHidden/>
              </w:rPr>
            </w:r>
            <w:r>
              <w:rPr>
                <w:noProof/>
                <w:webHidden/>
              </w:rPr>
              <w:fldChar w:fldCharType="separate"/>
            </w:r>
            <w:r w:rsidR="009E1CD6">
              <w:rPr>
                <w:noProof/>
                <w:webHidden/>
              </w:rPr>
              <w:t>20</w:t>
            </w:r>
            <w:r>
              <w:rPr>
                <w:noProof/>
                <w:webHidden/>
              </w:rPr>
              <w:fldChar w:fldCharType="end"/>
            </w:r>
          </w:hyperlink>
        </w:p>
        <w:p w:rsidR="009F67A3" w:rsidRDefault="009F67A3">
          <w:pPr>
            <w:pStyle w:val="TOC2"/>
            <w:tabs>
              <w:tab w:val="right" w:leader="dot" w:pos="9350"/>
            </w:tabs>
            <w:rPr>
              <w:rFonts w:cstheme="minorBidi"/>
              <w:noProof/>
            </w:rPr>
          </w:pPr>
          <w:hyperlink w:anchor="_Toc8299916" w:history="1">
            <w:r w:rsidRPr="00AC17A9">
              <w:rPr>
                <w:rStyle w:val="Hyperlink"/>
                <w:noProof/>
              </w:rPr>
              <w:t>Suspicion of Fraud, Theft, or other Illegal Activity</w:t>
            </w:r>
            <w:r>
              <w:rPr>
                <w:noProof/>
                <w:webHidden/>
              </w:rPr>
              <w:tab/>
            </w:r>
            <w:r>
              <w:rPr>
                <w:noProof/>
                <w:webHidden/>
              </w:rPr>
              <w:fldChar w:fldCharType="begin"/>
            </w:r>
            <w:r>
              <w:rPr>
                <w:noProof/>
                <w:webHidden/>
              </w:rPr>
              <w:instrText xml:space="preserve"> PAGEREF _Toc8299916 \h </w:instrText>
            </w:r>
            <w:r>
              <w:rPr>
                <w:noProof/>
                <w:webHidden/>
              </w:rPr>
            </w:r>
            <w:r>
              <w:rPr>
                <w:noProof/>
                <w:webHidden/>
              </w:rPr>
              <w:fldChar w:fldCharType="separate"/>
            </w:r>
            <w:r w:rsidR="009E1CD6">
              <w:rPr>
                <w:noProof/>
                <w:webHidden/>
              </w:rPr>
              <w:t>20</w:t>
            </w:r>
            <w:r>
              <w:rPr>
                <w:noProof/>
                <w:webHidden/>
              </w:rPr>
              <w:fldChar w:fldCharType="end"/>
            </w:r>
          </w:hyperlink>
        </w:p>
        <w:p w:rsidR="009F67A3" w:rsidRDefault="009F67A3">
          <w:pPr>
            <w:pStyle w:val="TOC2"/>
            <w:tabs>
              <w:tab w:val="right" w:leader="dot" w:pos="9350"/>
            </w:tabs>
            <w:rPr>
              <w:rFonts w:cstheme="minorBidi"/>
              <w:noProof/>
            </w:rPr>
          </w:pPr>
          <w:hyperlink w:anchor="_Toc8299917" w:history="1">
            <w:r w:rsidRPr="00AC17A9">
              <w:rPr>
                <w:rStyle w:val="Hyperlink"/>
                <w:noProof/>
              </w:rPr>
              <w:t>Remedies for Noncompliance</w:t>
            </w:r>
            <w:r>
              <w:rPr>
                <w:noProof/>
                <w:webHidden/>
              </w:rPr>
              <w:tab/>
            </w:r>
            <w:r>
              <w:rPr>
                <w:noProof/>
                <w:webHidden/>
              </w:rPr>
              <w:fldChar w:fldCharType="begin"/>
            </w:r>
            <w:r>
              <w:rPr>
                <w:noProof/>
                <w:webHidden/>
              </w:rPr>
              <w:instrText xml:space="preserve"> PAGEREF _Toc8299917 \h </w:instrText>
            </w:r>
            <w:r>
              <w:rPr>
                <w:noProof/>
                <w:webHidden/>
              </w:rPr>
            </w:r>
            <w:r>
              <w:rPr>
                <w:noProof/>
                <w:webHidden/>
              </w:rPr>
              <w:fldChar w:fldCharType="separate"/>
            </w:r>
            <w:r w:rsidR="009E1CD6">
              <w:rPr>
                <w:noProof/>
                <w:webHidden/>
              </w:rPr>
              <w:t>20</w:t>
            </w:r>
            <w:r>
              <w:rPr>
                <w:noProof/>
                <w:webHidden/>
              </w:rPr>
              <w:fldChar w:fldCharType="end"/>
            </w:r>
          </w:hyperlink>
        </w:p>
        <w:p w:rsidR="009F67A3" w:rsidRDefault="009F67A3">
          <w:pPr>
            <w:pStyle w:val="TOC1"/>
            <w:tabs>
              <w:tab w:val="right" w:leader="dot" w:pos="9350"/>
            </w:tabs>
            <w:rPr>
              <w:rFonts w:cstheme="minorBidi"/>
              <w:noProof/>
            </w:rPr>
          </w:pPr>
          <w:hyperlink w:anchor="_Toc8299918" w:history="1">
            <w:r w:rsidRPr="00AC17A9">
              <w:rPr>
                <w:rStyle w:val="Hyperlink"/>
                <w:noProof/>
              </w:rPr>
              <w:t>RECORD KEEPING AND FILE MANAGEMENT</w:t>
            </w:r>
            <w:r>
              <w:rPr>
                <w:noProof/>
                <w:webHidden/>
              </w:rPr>
              <w:tab/>
            </w:r>
            <w:r>
              <w:rPr>
                <w:noProof/>
                <w:webHidden/>
              </w:rPr>
              <w:fldChar w:fldCharType="begin"/>
            </w:r>
            <w:r>
              <w:rPr>
                <w:noProof/>
                <w:webHidden/>
              </w:rPr>
              <w:instrText xml:space="preserve"> PAGEREF _Toc8299918 \h </w:instrText>
            </w:r>
            <w:r>
              <w:rPr>
                <w:noProof/>
                <w:webHidden/>
              </w:rPr>
            </w:r>
            <w:r>
              <w:rPr>
                <w:noProof/>
                <w:webHidden/>
              </w:rPr>
              <w:fldChar w:fldCharType="separate"/>
            </w:r>
            <w:r w:rsidR="009E1CD6">
              <w:rPr>
                <w:noProof/>
                <w:webHidden/>
              </w:rPr>
              <w:t>21</w:t>
            </w:r>
            <w:r>
              <w:rPr>
                <w:noProof/>
                <w:webHidden/>
              </w:rPr>
              <w:fldChar w:fldCharType="end"/>
            </w:r>
          </w:hyperlink>
        </w:p>
        <w:p w:rsidR="009F67A3" w:rsidRDefault="009F67A3">
          <w:pPr>
            <w:pStyle w:val="TOC2"/>
            <w:tabs>
              <w:tab w:val="right" w:leader="dot" w:pos="9350"/>
            </w:tabs>
            <w:rPr>
              <w:rFonts w:cstheme="minorBidi"/>
              <w:noProof/>
            </w:rPr>
          </w:pPr>
          <w:hyperlink w:anchor="_Toc8299919" w:history="1">
            <w:r w:rsidRPr="00AC17A9">
              <w:rPr>
                <w:rStyle w:val="Hyperlink"/>
                <w:noProof/>
              </w:rPr>
              <w:t>Subgrant File</w:t>
            </w:r>
            <w:r>
              <w:rPr>
                <w:noProof/>
                <w:webHidden/>
              </w:rPr>
              <w:tab/>
            </w:r>
            <w:r>
              <w:rPr>
                <w:noProof/>
                <w:webHidden/>
              </w:rPr>
              <w:fldChar w:fldCharType="begin"/>
            </w:r>
            <w:r>
              <w:rPr>
                <w:noProof/>
                <w:webHidden/>
              </w:rPr>
              <w:instrText xml:space="preserve"> PAGEREF _Toc8299919 \h </w:instrText>
            </w:r>
            <w:r>
              <w:rPr>
                <w:noProof/>
                <w:webHidden/>
              </w:rPr>
            </w:r>
            <w:r>
              <w:rPr>
                <w:noProof/>
                <w:webHidden/>
              </w:rPr>
              <w:fldChar w:fldCharType="separate"/>
            </w:r>
            <w:r w:rsidR="009E1CD6">
              <w:rPr>
                <w:noProof/>
                <w:webHidden/>
              </w:rPr>
              <w:t>21</w:t>
            </w:r>
            <w:r>
              <w:rPr>
                <w:noProof/>
                <w:webHidden/>
              </w:rPr>
              <w:fldChar w:fldCharType="end"/>
            </w:r>
          </w:hyperlink>
        </w:p>
        <w:p w:rsidR="009F67A3" w:rsidRDefault="009F67A3">
          <w:pPr>
            <w:pStyle w:val="TOC2"/>
            <w:tabs>
              <w:tab w:val="right" w:leader="dot" w:pos="9350"/>
            </w:tabs>
            <w:rPr>
              <w:rFonts w:cstheme="minorBidi"/>
              <w:noProof/>
            </w:rPr>
          </w:pPr>
          <w:hyperlink w:anchor="_Toc8299920" w:history="1">
            <w:r w:rsidRPr="00AC17A9">
              <w:rPr>
                <w:rStyle w:val="Hyperlink"/>
                <w:noProof/>
              </w:rPr>
              <w:t>PSGAO General Subrecipient File</w:t>
            </w:r>
            <w:r>
              <w:rPr>
                <w:noProof/>
                <w:webHidden/>
              </w:rPr>
              <w:tab/>
            </w:r>
            <w:r>
              <w:rPr>
                <w:noProof/>
                <w:webHidden/>
              </w:rPr>
              <w:fldChar w:fldCharType="begin"/>
            </w:r>
            <w:r>
              <w:rPr>
                <w:noProof/>
                <w:webHidden/>
              </w:rPr>
              <w:instrText xml:space="preserve"> PAGEREF _Toc8299920 \h </w:instrText>
            </w:r>
            <w:r>
              <w:rPr>
                <w:noProof/>
                <w:webHidden/>
              </w:rPr>
            </w:r>
            <w:r>
              <w:rPr>
                <w:noProof/>
                <w:webHidden/>
              </w:rPr>
              <w:fldChar w:fldCharType="separate"/>
            </w:r>
            <w:r w:rsidR="009E1CD6">
              <w:rPr>
                <w:noProof/>
                <w:webHidden/>
              </w:rPr>
              <w:t>21</w:t>
            </w:r>
            <w:r>
              <w:rPr>
                <w:noProof/>
                <w:webHidden/>
              </w:rPr>
              <w:fldChar w:fldCharType="end"/>
            </w:r>
          </w:hyperlink>
        </w:p>
        <w:p w:rsidR="009F67A3" w:rsidRDefault="009F67A3">
          <w:pPr>
            <w:pStyle w:val="TOC1"/>
            <w:tabs>
              <w:tab w:val="right" w:leader="dot" w:pos="9350"/>
            </w:tabs>
            <w:rPr>
              <w:rFonts w:cstheme="minorBidi"/>
              <w:noProof/>
            </w:rPr>
          </w:pPr>
          <w:hyperlink w:anchor="_Toc8299921" w:history="1">
            <w:r w:rsidRPr="00AC17A9">
              <w:rPr>
                <w:rStyle w:val="Hyperlink"/>
                <w:noProof/>
              </w:rPr>
              <w:t>APPENDIX A: USEFUL LINKS</w:t>
            </w:r>
            <w:r>
              <w:rPr>
                <w:noProof/>
                <w:webHidden/>
              </w:rPr>
              <w:tab/>
            </w:r>
            <w:r>
              <w:rPr>
                <w:noProof/>
                <w:webHidden/>
              </w:rPr>
              <w:fldChar w:fldCharType="begin"/>
            </w:r>
            <w:r>
              <w:rPr>
                <w:noProof/>
                <w:webHidden/>
              </w:rPr>
              <w:instrText xml:space="preserve"> PAGEREF _Toc8299921 \h </w:instrText>
            </w:r>
            <w:r>
              <w:rPr>
                <w:noProof/>
                <w:webHidden/>
              </w:rPr>
            </w:r>
            <w:r>
              <w:rPr>
                <w:noProof/>
                <w:webHidden/>
              </w:rPr>
              <w:fldChar w:fldCharType="separate"/>
            </w:r>
            <w:r w:rsidR="009E1CD6">
              <w:rPr>
                <w:noProof/>
                <w:webHidden/>
              </w:rPr>
              <w:t>23</w:t>
            </w:r>
            <w:r>
              <w:rPr>
                <w:noProof/>
                <w:webHidden/>
              </w:rPr>
              <w:fldChar w:fldCharType="end"/>
            </w:r>
          </w:hyperlink>
        </w:p>
        <w:p w:rsidR="005615DB" w:rsidRDefault="005615DB">
          <w:r>
            <w:rPr>
              <w:b/>
              <w:bCs/>
              <w:noProof/>
            </w:rPr>
            <w:fldChar w:fldCharType="end"/>
          </w:r>
        </w:p>
      </w:sdtContent>
    </w:sdt>
    <w:p w:rsidR="00D92174" w:rsidRDefault="00D92174" w:rsidP="006A2A32">
      <w:pPr>
        <w:spacing w:line="240" w:lineRule="auto"/>
        <w:jc w:val="center"/>
        <w:rPr>
          <w:rFonts w:cstheme="minorHAnsi"/>
          <w:b/>
          <w:color w:val="4472C4" w:themeColor="accent1"/>
          <w:sz w:val="24"/>
          <w:szCs w:val="24"/>
          <w:u w:val="single"/>
        </w:rPr>
      </w:pPr>
    </w:p>
    <w:p w:rsidR="00D92174" w:rsidRDefault="00D92174">
      <w:pPr>
        <w:rPr>
          <w:rFonts w:cstheme="minorHAnsi"/>
          <w:b/>
          <w:color w:val="4472C4" w:themeColor="accent1"/>
          <w:sz w:val="24"/>
          <w:szCs w:val="24"/>
          <w:u w:val="single"/>
        </w:rPr>
      </w:pPr>
      <w:r>
        <w:rPr>
          <w:rFonts w:cstheme="minorHAnsi"/>
          <w:b/>
          <w:color w:val="4472C4" w:themeColor="accent1"/>
          <w:sz w:val="24"/>
          <w:szCs w:val="24"/>
          <w:u w:val="single"/>
        </w:rPr>
        <w:br w:type="page"/>
      </w:r>
    </w:p>
    <w:p w:rsidR="006A2A32" w:rsidRPr="00816E35" w:rsidRDefault="00FB148A" w:rsidP="00260281">
      <w:pPr>
        <w:pStyle w:val="Heading1"/>
        <w:jc w:val="center"/>
      </w:pPr>
      <w:bookmarkStart w:id="0" w:name="_Toc8299879"/>
      <w:r>
        <w:lastRenderedPageBreak/>
        <w:t>I</w:t>
      </w:r>
      <w:r w:rsidR="001F1505">
        <w:t>NTRODUCTION</w:t>
      </w:r>
      <w:bookmarkEnd w:id="0"/>
    </w:p>
    <w:p w:rsidR="0027188F" w:rsidRPr="00816E35" w:rsidRDefault="0027188F" w:rsidP="006A2A32">
      <w:pPr>
        <w:spacing w:line="240" w:lineRule="auto"/>
        <w:rPr>
          <w:rFonts w:cstheme="minorHAnsi"/>
          <w:sz w:val="24"/>
          <w:szCs w:val="24"/>
        </w:rPr>
      </w:pPr>
      <w:r w:rsidRPr="00816E35">
        <w:rPr>
          <w:rFonts w:cstheme="minorHAnsi"/>
          <w:sz w:val="24"/>
          <w:szCs w:val="24"/>
        </w:rPr>
        <w:tab/>
        <w:t xml:space="preserve">This manual is intended to serve as a supplement to the </w:t>
      </w:r>
      <w:r w:rsidR="00682A9B">
        <w:rPr>
          <w:rFonts w:cstheme="minorHAnsi"/>
          <w:sz w:val="24"/>
          <w:szCs w:val="24"/>
        </w:rPr>
        <w:t xml:space="preserve">Public Safety Grant </w:t>
      </w:r>
      <w:r w:rsidR="004B0C68">
        <w:rPr>
          <w:rFonts w:cstheme="minorHAnsi"/>
          <w:sz w:val="24"/>
          <w:szCs w:val="24"/>
        </w:rPr>
        <w:t>Administration</w:t>
      </w:r>
      <w:r w:rsidR="00682A9B">
        <w:rPr>
          <w:rFonts w:cstheme="minorHAnsi"/>
          <w:sz w:val="24"/>
          <w:szCs w:val="24"/>
        </w:rPr>
        <w:t xml:space="preserve"> Office</w:t>
      </w:r>
      <w:r w:rsidR="004B0C68">
        <w:rPr>
          <w:rFonts w:cstheme="minorHAnsi"/>
          <w:sz w:val="24"/>
          <w:szCs w:val="24"/>
        </w:rPr>
        <w:t>’s (</w:t>
      </w:r>
      <w:r w:rsidRPr="00816E35">
        <w:rPr>
          <w:rFonts w:cstheme="minorHAnsi"/>
          <w:sz w:val="24"/>
          <w:szCs w:val="24"/>
        </w:rPr>
        <w:t>PSGAO</w:t>
      </w:r>
      <w:r w:rsidR="004B0C68">
        <w:rPr>
          <w:rFonts w:cstheme="minorHAnsi"/>
          <w:sz w:val="24"/>
          <w:szCs w:val="24"/>
        </w:rPr>
        <w:t>)</w:t>
      </w:r>
      <w:r w:rsidRPr="00816E35">
        <w:rPr>
          <w:rFonts w:cstheme="minorHAnsi"/>
          <w:sz w:val="24"/>
          <w:szCs w:val="24"/>
        </w:rPr>
        <w:t xml:space="preserve"> Policies and Procedures manual for the specific purpose of providing more in-depth guidelines on the </w:t>
      </w:r>
      <w:r w:rsidR="00E24DB3">
        <w:rPr>
          <w:rFonts w:cstheme="minorHAnsi"/>
          <w:sz w:val="24"/>
          <w:szCs w:val="24"/>
        </w:rPr>
        <w:t>Victims of Crime Act (</w:t>
      </w:r>
      <w:r w:rsidRPr="00816E35">
        <w:rPr>
          <w:rFonts w:cstheme="minorHAnsi"/>
          <w:sz w:val="24"/>
          <w:szCs w:val="24"/>
        </w:rPr>
        <w:t>VOCA</w:t>
      </w:r>
      <w:r w:rsidR="00E24DB3">
        <w:rPr>
          <w:rFonts w:cstheme="minorHAnsi"/>
          <w:sz w:val="24"/>
          <w:szCs w:val="24"/>
        </w:rPr>
        <w:t>)</w:t>
      </w:r>
      <w:r w:rsidRPr="00816E35">
        <w:rPr>
          <w:rFonts w:cstheme="minorHAnsi"/>
          <w:sz w:val="24"/>
          <w:szCs w:val="24"/>
        </w:rPr>
        <w:t xml:space="preserve"> grant.  The content contained herein shall be updated as needed in order to reflect current federal grant management standards.  In the event that this manual has conflicting rules with the Policies and Procedures manual, subrecipients should contact the PSGAO for guidance.</w:t>
      </w:r>
    </w:p>
    <w:p w:rsidR="009A20C4" w:rsidRDefault="009A20C4" w:rsidP="00FB148A">
      <w:pPr>
        <w:pStyle w:val="Heading2"/>
      </w:pPr>
    </w:p>
    <w:p w:rsidR="006A2A32" w:rsidRPr="00F9409A" w:rsidRDefault="006A2A32" w:rsidP="00FB148A">
      <w:pPr>
        <w:pStyle w:val="Heading2"/>
        <w:rPr>
          <w:sz w:val="24"/>
          <w:szCs w:val="24"/>
        </w:rPr>
      </w:pPr>
      <w:bookmarkStart w:id="1" w:name="_Toc8299880"/>
      <w:r w:rsidRPr="00F9409A">
        <w:rPr>
          <w:sz w:val="24"/>
          <w:szCs w:val="24"/>
        </w:rPr>
        <w:t>Common Acronyms</w:t>
      </w:r>
      <w:bookmarkEnd w:id="1"/>
      <w:r w:rsidR="00531D0A" w:rsidRPr="00F9409A">
        <w:rPr>
          <w:sz w:val="24"/>
          <w:szCs w:val="24"/>
        </w:rPr>
        <w:t xml:space="preserve"> </w:t>
      </w:r>
    </w:p>
    <w:p w:rsidR="006A2A32" w:rsidRPr="00F9409A" w:rsidRDefault="006A2A32" w:rsidP="00F9409A">
      <w:pPr>
        <w:pStyle w:val="ListParagraph"/>
        <w:numPr>
          <w:ilvl w:val="0"/>
          <w:numId w:val="13"/>
        </w:numPr>
        <w:spacing w:line="360" w:lineRule="auto"/>
        <w:rPr>
          <w:rFonts w:cstheme="minorHAnsi"/>
          <w:sz w:val="24"/>
          <w:szCs w:val="24"/>
        </w:rPr>
      </w:pPr>
      <w:r w:rsidRPr="00F9409A">
        <w:rPr>
          <w:rFonts w:cstheme="minorHAnsi"/>
          <w:sz w:val="24"/>
          <w:szCs w:val="24"/>
        </w:rPr>
        <w:t>PSGAO</w:t>
      </w:r>
      <w:r w:rsidRPr="00F9409A">
        <w:rPr>
          <w:rFonts w:cstheme="minorHAnsi"/>
          <w:sz w:val="24"/>
          <w:szCs w:val="24"/>
        </w:rPr>
        <w:tab/>
      </w:r>
      <w:r w:rsidRPr="00F9409A">
        <w:rPr>
          <w:rFonts w:cstheme="minorHAnsi"/>
          <w:sz w:val="24"/>
          <w:szCs w:val="24"/>
        </w:rPr>
        <w:tab/>
      </w:r>
      <w:r w:rsidRPr="00F9409A">
        <w:rPr>
          <w:rFonts w:cstheme="minorHAnsi"/>
          <w:sz w:val="24"/>
          <w:szCs w:val="24"/>
        </w:rPr>
        <w:tab/>
        <w:t>Public Safety Grant Administration Office</w:t>
      </w:r>
    </w:p>
    <w:p w:rsidR="00F9409A" w:rsidRPr="00F9409A" w:rsidRDefault="006A2A32" w:rsidP="00F9409A">
      <w:pPr>
        <w:pStyle w:val="ListParagraph"/>
        <w:numPr>
          <w:ilvl w:val="0"/>
          <w:numId w:val="13"/>
        </w:numPr>
        <w:spacing w:line="360" w:lineRule="auto"/>
        <w:rPr>
          <w:rFonts w:cstheme="minorHAnsi"/>
          <w:sz w:val="24"/>
          <w:szCs w:val="24"/>
        </w:rPr>
      </w:pPr>
      <w:r w:rsidRPr="00F9409A">
        <w:rPr>
          <w:rFonts w:cstheme="minorHAnsi"/>
          <w:sz w:val="24"/>
          <w:szCs w:val="24"/>
        </w:rPr>
        <w:t>C.F.R.</w:t>
      </w:r>
      <w:r w:rsidRPr="00F9409A">
        <w:rPr>
          <w:rFonts w:cstheme="minorHAnsi"/>
          <w:sz w:val="24"/>
          <w:szCs w:val="24"/>
        </w:rPr>
        <w:tab/>
      </w:r>
      <w:r w:rsidRPr="00F9409A">
        <w:rPr>
          <w:rFonts w:cstheme="minorHAnsi"/>
          <w:sz w:val="24"/>
          <w:szCs w:val="24"/>
        </w:rPr>
        <w:tab/>
      </w:r>
      <w:r w:rsidRPr="00F9409A">
        <w:rPr>
          <w:rFonts w:cstheme="minorHAnsi"/>
          <w:sz w:val="24"/>
          <w:szCs w:val="24"/>
        </w:rPr>
        <w:tab/>
        <w:t>Code of Federal Regulations</w:t>
      </w:r>
    </w:p>
    <w:p w:rsidR="00E24DB3" w:rsidRPr="00F9409A" w:rsidRDefault="00E24DB3" w:rsidP="00F9409A">
      <w:pPr>
        <w:pStyle w:val="ListParagraph"/>
        <w:numPr>
          <w:ilvl w:val="0"/>
          <w:numId w:val="13"/>
        </w:numPr>
        <w:spacing w:line="360" w:lineRule="auto"/>
        <w:rPr>
          <w:rFonts w:cstheme="minorHAnsi"/>
          <w:sz w:val="24"/>
          <w:szCs w:val="24"/>
        </w:rPr>
      </w:pPr>
      <w:r w:rsidRPr="00F9409A">
        <w:rPr>
          <w:rFonts w:cstheme="minorHAnsi"/>
          <w:sz w:val="24"/>
          <w:szCs w:val="24"/>
        </w:rPr>
        <w:t>R.I.C.R.</w:t>
      </w:r>
      <w:r w:rsidRPr="00F9409A">
        <w:rPr>
          <w:rFonts w:cstheme="minorHAnsi"/>
          <w:sz w:val="24"/>
          <w:szCs w:val="24"/>
        </w:rPr>
        <w:tab/>
      </w:r>
      <w:r w:rsidRPr="00F9409A">
        <w:rPr>
          <w:rFonts w:cstheme="minorHAnsi"/>
          <w:sz w:val="24"/>
          <w:szCs w:val="24"/>
        </w:rPr>
        <w:tab/>
      </w:r>
      <w:r w:rsidRPr="00F9409A">
        <w:rPr>
          <w:rFonts w:cstheme="minorHAnsi"/>
          <w:sz w:val="24"/>
          <w:szCs w:val="24"/>
        </w:rPr>
        <w:tab/>
        <w:t>Rhode Island Code of Regulations</w:t>
      </w:r>
    </w:p>
    <w:p w:rsidR="006A2A32" w:rsidRPr="00F9409A" w:rsidRDefault="006A2A32" w:rsidP="00F9409A">
      <w:pPr>
        <w:pStyle w:val="ListParagraph"/>
        <w:numPr>
          <w:ilvl w:val="0"/>
          <w:numId w:val="13"/>
        </w:numPr>
        <w:spacing w:line="360" w:lineRule="auto"/>
        <w:rPr>
          <w:rFonts w:cstheme="minorHAnsi"/>
          <w:sz w:val="24"/>
          <w:szCs w:val="24"/>
        </w:rPr>
      </w:pPr>
      <w:r w:rsidRPr="00F9409A">
        <w:rPr>
          <w:rFonts w:cstheme="minorHAnsi"/>
          <w:sz w:val="24"/>
          <w:szCs w:val="24"/>
        </w:rPr>
        <w:t xml:space="preserve">DOJ </w:t>
      </w:r>
      <w:r w:rsidRPr="00F9409A">
        <w:rPr>
          <w:rFonts w:cstheme="minorHAnsi"/>
          <w:sz w:val="24"/>
          <w:szCs w:val="24"/>
        </w:rPr>
        <w:tab/>
      </w:r>
      <w:r w:rsidRPr="00F9409A">
        <w:rPr>
          <w:rFonts w:cstheme="minorHAnsi"/>
          <w:sz w:val="24"/>
          <w:szCs w:val="24"/>
        </w:rPr>
        <w:tab/>
      </w:r>
      <w:r w:rsidRPr="00F9409A">
        <w:rPr>
          <w:rFonts w:cstheme="minorHAnsi"/>
          <w:sz w:val="24"/>
          <w:szCs w:val="24"/>
        </w:rPr>
        <w:tab/>
        <w:t>Federal Department of Justice</w:t>
      </w:r>
    </w:p>
    <w:p w:rsidR="006A2A32" w:rsidRPr="00F9409A" w:rsidRDefault="006A2A32" w:rsidP="00F9409A">
      <w:pPr>
        <w:pStyle w:val="ListParagraph"/>
        <w:numPr>
          <w:ilvl w:val="0"/>
          <w:numId w:val="13"/>
        </w:numPr>
        <w:spacing w:line="360" w:lineRule="auto"/>
        <w:rPr>
          <w:rFonts w:cstheme="minorHAnsi"/>
          <w:sz w:val="24"/>
          <w:szCs w:val="24"/>
        </w:rPr>
      </w:pPr>
      <w:r w:rsidRPr="00F9409A">
        <w:rPr>
          <w:rFonts w:cstheme="minorHAnsi"/>
          <w:sz w:val="24"/>
          <w:szCs w:val="24"/>
        </w:rPr>
        <w:t xml:space="preserve">OJP </w:t>
      </w:r>
      <w:r w:rsidRPr="00F9409A">
        <w:rPr>
          <w:rFonts w:cstheme="minorHAnsi"/>
          <w:sz w:val="24"/>
          <w:szCs w:val="24"/>
        </w:rPr>
        <w:tab/>
      </w:r>
      <w:r w:rsidRPr="00F9409A">
        <w:rPr>
          <w:rFonts w:cstheme="minorHAnsi"/>
          <w:sz w:val="24"/>
          <w:szCs w:val="24"/>
        </w:rPr>
        <w:tab/>
      </w:r>
      <w:r w:rsidRPr="00F9409A">
        <w:rPr>
          <w:rFonts w:cstheme="minorHAnsi"/>
          <w:sz w:val="24"/>
          <w:szCs w:val="24"/>
        </w:rPr>
        <w:tab/>
        <w:t>Federal Office of Justice Programs</w:t>
      </w:r>
    </w:p>
    <w:p w:rsidR="006A2A32" w:rsidRDefault="006A2A32" w:rsidP="00F9409A">
      <w:pPr>
        <w:pStyle w:val="ListParagraph"/>
        <w:numPr>
          <w:ilvl w:val="0"/>
          <w:numId w:val="13"/>
        </w:numPr>
        <w:spacing w:line="360" w:lineRule="auto"/>
        <w:rPr>
          <w:rFonts w:cstheme="minorHAnsi"/>
          <w:sz w:val="24"/>
          <w:szCs w:val="24"/>
        </w:rPr>
      </w:pPr>
      <w:r w:rsidRPr="00F9409A">
        <w:rPr>
          <w:rFonts w:cstheme="minorHAnsi"/>
          <w:sz w:val="24"/>
          <w:szCs w:val="24"/>
        </w:rPr>
        <w:t>OVW</w:t>
      </w:r>
      <w:r w:rsidRPr="00F9409A">
        <w:rPr>
          <w:rFonts w:cstheme="minorHAnsi"/>
          <w:sz w:val="24"/>
          <w:szCs w:val="24"/>
        </w:rPr>
        <w:tab/>
      </w:r>
      <w:r w:rsidRPr="00F9409A">
        <w:rPr>
          <w:rFonts w:cstheme="minorHAnsi"/>
          <w:sz w:val="24"/>
          <w:szCs w:val="24"/>
        </w:rPr>
        <w:tab/>
      </w:r>
      <w:r w:rsidRPr="00F9409A">
        <w:rPr>
          <w:rFonts w:cstheme="minorHAnsi"/>
          <w:sz w:val="24"/>
          <w:szCs w:val="24"/>
        </w:rPr>
        <w:tab/>
        <w:t>Federal Office on Violence Against Women</w:t>
      </w:r>
    </w:p>
    <w:p w:rsidR="00F17CBE" w:rsidRPr="00F9409A" w:rsidRDefault="00F17CBE" w:rsidP="00F9409A">
      <w:pPr>
        <w:pStyle w:val="ListParagraph"/>
        <w:numPr>
          <w:ilvl w:val="0"/>
          <w:numId w:val="13"/>
        </w:numPr>
        <w:spacing w:line="360" w:lineRule="auto"/>
        <w:rPr>
          <w:rFonts w:cstheme="minorHAnsi"/>
          <w:sz w:val="24"/>
          <w:szCs w:val="24"/>
        </w:rPr>
      </w:pPr>
      <w:r>
        <w:rPr>
          <w:rFonts w:cstheme="minorHAnsi"/>
          <w:sz w:val="24"/>
          <w:szCs w:val="24"/>
        </w:rPr>
        <w:t>OVC</w:t>
      </w:r>
      <w:r>
        <w:rPr>
          <w:rFonts w:cstheme="minorHAnsi"/>
          <w:sz w:val="24"/>
          <w:szCs w:val="24"/>
        </w:rPr>
        <w:tab/>
      </w:r>
      <w:r>
        <w:rPr>
          <w:rFonts w:cstheme="minorHAnsi"/>
          <w:sz w:val="24"/>
          <w:szCs w:val="24"/>
        </w:rPr>
        <w:tab/>
      </w:r>
      <w:r>
        <w:rPr>
          <w:rFonts w:cstheme="minorHAnsi"/>
          <w:sz w:val="24"/>
          <w:szCs w:val="24"/>
        </w:rPr>
        <w:tab/>
        <w:t xml:space="preserve">Office </w:t>
      </w:r>
      <w:r w:rsidR="004A3892">
        <w:rPr>
          <w:rFonts w:cstheme="minorHAnsi"/>
          <w:sz w:val="24"/>
          <w:szCs w:val="24"/>
        </w:rPr>
        <w:t>for Victims of Crime</w:t>
      </w:r>
    </w:p>
    <w:p w:rsidR="006A2A32" w:rsidRPr="00F9409A" w:rsidRDefault="006A2A32" w:rsidP="00F9409A">
      <w:pPr>
        <w:pStyle w:val="ListParagraph"/>
        <w:numPr>
          <w:ilvl w:val="0"/>
          <w:numId w:val="13"/>
        </w:numPr>
        <w:spacing w:line="360" w:lineRule="auto"/>
        <w:rPr>
          <w:sz w:val="24"/>
          <w:szCs w:val="24"/>
        </w:rPr>
      </w:pPr>
      <w:r w:rsidRPr="00F9409A">
        <w:rPr>
          <w:sz w:val="24"/>
          <w:szCs w:val="24"/>
        </w:rPr>
        <w:t xml:space="preserve">RFP </w:t>
      </w:r>
      <w:r w:rsidRPr="00F9409A">
        <w:rPr>
          <w:sz w:val="24"/>
          <w:szCs w:val="24"/>
        </w:rPr>
        <w:tab/>
      </w:r>
      <w:r w:rsidRPr="00F9409A">
        <w:rPr>
          <w:sz w:val="24"/>
          <w:szCs w:val="24"/>
        </w:rPr>
        <w:tab/>
      </w:r>
      <w:r w:rsidRPr="00F9409A">
        <w:rPr>
          <w:sz w:val="24"/>
          <w:szCs w:val="24"/>
        </w:rPr>
        <w:tab/>
        <w:t xml:space="preserve">Request for Proposals </w:t>
      </w:r>
    </w:p>
    <w:p w:rsidR="006A2A32" w:rsidRPr="00F9409A" w:rsidRDefault="006A2A32" w:rsidP="00F9409A">
      <w:pPr>
        <w:pStyle w:val="ListParagraph"/>
        <w:numPr>
          <w:ilvl w:val="0"/>
          <w:numId w:val="13"/>
        </w:numPr>
        <w:spacing w:line="360" w:lineRule="auto"/>
        <w:rPr>
          <w:sz w:val="24"/>
          <w:szCs w:val="24"/>
        </w:rPr>
      </w:pPr>
      <w:r w:rsidRPr="00F9409A">
        <w:rPr>
          <w:sz w:val="24"/>
          <w:szCs w:val="24"/>
        </w:rPr>
        <w:t xml:space="preserve">SAA </w:t>
      </w:r>
      <w:r w:rsidRPr="00F9409A">
        <w:rPr>
          <w:sz w:val="24"/>
          <w:szCs w:val="24"/>
        </w:rPr>
        <w:tab/>
      </w:r>
      <w:r w:rsidRPr="00F9409A">
        <w:rPr>
          <w:sz w:val="24"/>
          <w:szCs w:val="24"/>
        </w:rPr>
        <w:tab/>
      </w:r>
      <w:r w:rsidRPr="00F9409A">
        <w:rPr>
          <w:sz w:val="24"/>
          <w:szCs w:val="24"/>
        </w:rPr>
        <w:tab/>
        <w:t>State Administering Agency</w:t>
      </w:r>
    </w:p>
    <w:p w:rsidR="00F9409A" w:rsidRPr="00F9409A" w:rsidRDefault="006A2A32" w:rsidP="00F9409A">
      <w:pPr>
        <w:pStyle w:val="ListParagraph"/>
        <w:numPr>
          <w:ilvl w:val="0"/>
          <w:numId w:val="13"/>
        </w:numPr>
        <w:spacing w:line="360" w:lineRule="auto"/>
        <w:rPr>
          <w:sz w:val="24"/>
          <w:szCs w:val="24"/>
        </w:rPr>
      </w:pPr>
      <w:r w:rsidRPr="00F9409A">
        <w:rPr>
          <w:sz w:val="24"/>
          <w:szCs w:val="24"/>
        </w:rPr>
        <w:t xml:space="preserve">VOCA </w:t>
      </w:r>
      <w:r w:rsidRPr="00F9409A">
        <w:rPr>
          <w:sz w:val="24"/>
          <w:szCs w:val="24"/>
        </w:rPr>
        <w:tab/>
      </w:r>
      <w:r w:rsidRPr="00F9409A">
        <w:rPr>
          <w:sz w:val="24"/>
          <w:szCs w:val="24"/>
        </w:rPr>
        <w:tab/>
      </w:r>
      <w:r w:rsidRPr="00F9409A">
        <w:rPr>
          <w:sz w:val="24"/>
          <w:szCs w:val="24"/>
        </w:rPr>
        <w:tab/>
        <w:t>Victims of Crime Act</w:t>
      </w:r>
    </w:p>
    <w:p w:rsidR="006B4DBE" w:rsidRPr="00F9409A" w:rsidRDefault="006B4DBE" w:rsidP="00F9409A">
      <w:pPr>
        <w:pStyle w:val="ListParagraph"/>
        <w:numPr>
          <w:ilvl w:val="0"/>
          <w:numId w:val="13"/>
        </w:numPr>
        <w:spacing w:line="360" w:lineRule="auto"/>
        <w:rPr>
          <w:sz w:val="24"/>
          <w:szCs w:val="24"/>
        </w:rPr>
      </w:pPr>
      <w:r w:rsidRPr="00F9409A">
        <w:rPr>
          <w:sz w:val="24"/>
          <w:szCs w:val="24"/>
        </w:rPr>
        <w:t>CAP</w:t>
      </w:r>
      <w:r w:rsidRPr="00F9409A">
        <w:rPr>
          <w:sz w:val="24"/>
          <w:szCs w:val="24"/>
        </w:rPr>
        <w:tab/>
      </w:r>
      <w:r w:rsidRPr="00F9409A">
        <w:rPr>
          <w:sz w:val="24"/>
          <w:szCs w:val="24"/>
        </w:rPr>
        <w:tab/>
      </w:r>
      <w:r w:rsidRPr="00F9409A">
        <w:rPr>
          <w:sz w:val="24"/>
          <w:szCs w:val="24"/>
        </w:rPr>
        <w:tab/>
        <w:t>Corrective Action Plan</w:t>
      </w:r>
    </w:p>
    <w:p w:rsidR="00AD2E82" w:rsidRDefault="00E15889" w:rsidP="00F9409A">
      <w:pPr>
        <w:pStyle w:val="ListParagraph"/>
        <w:numPr>
          <w:ilvl w:val="0"/>
          <w:numId w:val="13"/>
        </w:numPr>
        <w:spacing w:line="360" w:lineRule="auto"/>
        <w:rPr>
          <w:sz w:val="24"/>
          <w:szCs w:val="24"/>
        </w:rPr>
      </w:pPr>
      <w:r w:rsidRPr="00F9409A">
        <w:rPr>
          <w:sz w:val="24"/>
          <w:szCs w:val="24"/>
        </w:rPr>
        <w:t>PMT</w:t>
      </w:r>
      <w:r w:rsidRPr="00F9409A">
        <w:rPr>
          <w:sz w:val="24"/>
          <w:szCs w:val="24"/>
        </w:rPr>
        <w:tab/>
      </w:r>
      <w:r w:rsidR="00F9409A" w:rsidRPr="00F9409A">
        <w:rPr>
          <w:sz w:val="24"/>
          <w:szCs w:val="24"/>
        </w:rPr>
        <w:tab/>
      </w:r>
      <w:r w:rsidR="00F9409A" w:rsidRPr="00F9409A">
        <w:rPr>
          <w:sz w:val="24"/>
          <w:szCs w:val="24"/>
        </w:rPr>
        <w:tab/>
        <w:t>Performance Measurement Tool</w:t>
      </w:r>
      <w:r w:rsidRPr="00F9409A">
        <w:rPr>
          <w:sz w:val="24"/>
          <w:szCs w:val="24"/>
        </w:rPr>
        <w:tab/>
      </w:r>
    </w:p>
    <w:p w:rsidR="00E15889" w:rsidRPr="00AD2E82" w:rsidRDefault="00AD2E82" w:rsidP="00AD2E82">
      <w:pPr>
        <w:pStyle w:val="ListParagraph"/>
        <w:numPr>
          <w:ilvl w:val="0"/>
          <w:numId w:val="13"/>
        </w:numPr>
        <w:spacing w:line="360" w:lineRule="auto"/>
        <w:rPr>
          <w:sz w:val="24"/>
          <w:szCs w:val="24"/>
        </w:rPr>
      </w:pPr>
      <w:r>
        <w:rPr>
          <w:sz w:val="24"/>
          <w:szCs w:val="24"/>
        </w:rPr>
        <w:t>GAN</w:t>
      </w:r>
      <w:r>
        <w:rPr>
          <w:sz w:val="24"/>
          <w:szCs w:val="24"/>
        </w:rPr>
        <w:tab/>
      </w:r>
      <w:r>
        <w:rPr>
          <w:sz w:val="24"/>
          <w:szCs w:val="24"/>
        </w:rPr>
        <w:tab/>
      </w:r>
      <w:r>
        <w:rPr>
          <w:sz w:val="24"/>
          <w:szCs w:val="24"/>
        </w:rPr>
        <w:tab/>
        <w:t>Grant Adjustment Notice</w:t>
      </w:r>
      <w:r w:rsidR="00E15889" w:rsidRPr="00AD2E82">
        <w:rPr>
          <w:sz w:val="24"/>
          <w:szCs w:val="24"/>
        </w:rPr>
        <w:tab/>
      </w:r>
    </w:p>
    <w:p w:rsidR="006A2A32" w:rsidRPr="00F9409A" w:rsidRDefault="006A2A32" w:rsidP="006A2A32">
      <w:pPr>
        <w:spacing w:line="240" w:lineRule="auto"/>
        <w:rPr>
          <w:rFonts w:cstheme="minorHAnsi"/>
          <w:sz w:val="24"/>
          <w:szCs w:val="24"/>
        </w:rPr>
      </w:pPr>
    </w:p>
    <w:p w:rsidR="006A2A32" w:rsidRPr="00816E35" w:rsidRDefault="0027188F" w:rsidP="00FB148A">
      <w:pPr>
        <w:pStyle w:val="Heading2"/>
      </w:pPr>
      <w:bookmarkStart w:id="2" w:name="_Toc8299881"/>
      <w:r w:rsidRPr="00816E35">
        <w:t>About VOCA</w:t>
      </w:r>
      <w:bookmarkEnd w:id="2"/>
      <w:r w:rsidRPr="00816E35">
        <w:t xml:space="preserve"> </w:t>
      </w:r>
    </w:p>
    <w:p w:rsidR="006A2A32" w:rsidRPr="00816E35" w:rsidRDefault="006A2A32" w:rsidP="006A2A32">
      <w:pPr>
        <w:spacing w:line="240" w:lineRule="auto"/>
        <w:rPr>
          <w:rFonts w:cstheme="minorHAnsi"/>
          <w:sz w:val="24"/>
          <w:szCs w:val="24"/>
        </w:rPr>
      </w:pPr>
      <w:r w:rsidRPr="00816E35">
        <w:rPr>
          <w:rFonts w:cstheme="minorHAnsi"/>
          <w:sz w:val="24"/>
          <w:szCs w:val="24"/>
        </w:rPr>
        <w:tab/>
        <w:t>The purpose of the VOCA Victim Assistance Formula Grant</w:t>
      </w:r>
      <w:r w:rsidR="00816E35">
        <w:rPr>
          <w:rFonts w:cstheme="minorHAnsi"/>
          <w:sz w:val="24"/>
          <w:szCs w:val="24"/>
        </w:rPr>
        <w:t xml:space="preserve"> </w:t>
      </w:r>
      <w:r w:rsidRPr="00816E35">
        <w:rPr>
          <w:rFonts w:cstheme="minorHAnsi"/>
          <w:sz w:val="24"/>
          <w:szCs w:val="24"/>
        </w:rPr>
        <w:t>Program is to provide federal financial assistance to states to support the provision of</w:t>
      </w:r>
      <w:r w:rsidR="00816E35">
        <w:rPr>
          <w:rFonts w:cstheme="minorHAnsi"/>
          <w:sz w:val="24"/>
          <w:szCs w:val="24"/>
        </w:rPr>
        <w:t xml:space="preserve"> </w:t>
      </w:r>
      <w:r w:rsidRPr="00816E35">
        <w:rPr>
          <w:rFonts w:cstheme="minorHAnsi"/>
          <w:sz w:val="24"/>
          <w:szCs w:val="24"/>
        </w:rPr>
        <w:t>services to victims of crime throughout the nation. The VOCA grant is administered by</w:t>
      </w:r>
      <w:r w:rsidR="00816E35">
        <w:rPr>
          <w:rFonts w:cstheme="minorHAnsi"/>
          <w:sz w:val="24"/>
          <w:szCs w:val="24"/>
        </w:rPr>
        <w:t xml:space="preserve"> </w:t>
      </w:r>
      <w:r w:rsidRPr="00816E35">
        <w:rPr>
          <w:rFonts w:cstheme="minorHAnsi"/>
          <w:sz w:val="24"/>
          <w:szCs w:val="24"/>
        </w:rPr>
        <w:t>the Office for Victims of Crime (OVC), Office of Justice Programs (OJP), U.S.</w:t>
      </w:r>
      <w:r w:rsidR="00816E35">
        <w:rPr>
          <w:rFonts w:cstheme="minorHAnsi"/>
          <w:sz w:val="24"/>
          <w:szCs w:val="24"/>
        </w:rPr>
        <w:t xml:space="preserve"> </w:t>
      </w:r>
      <w:r w:rsidRPr="00816E35">
        <w:rPr>
          <w:rFonts w:cstheme="minorHAnsi"/>
          <w:sz w:val="24"/>
          <w:szCs w:val="24"/>
        </w:rPr>
        <w:t>Department of Justice (DOJ), which distributes funds to the states by formula. The</w:t>
      </w:r>
      <w:r w:rsidR="00816E35">
        <w:rPr>
          <w:rFonts w:cstheme="minorHAnsi"/>
          <w:sz w:val="24"/>
          <w:szCs w:val="24"/>
        </w:rPr>
        <w:t xml:space="preserve"> </w:t>
      </w:r>
      <w:r w:rsidRPr="00816E35">
        <w:rPr>
          <w:rFonts w:cstheme="minorHAnsi"/>
          <w:sz w:val="24"/>
          <w:szCs w:val="24"/>
        </w:rPr>
        <w:t>PSGAO is the State Administering Agency (SAA) for the VOCA grant.</w:t>
      </w:r>
    </w:p>
    <w:p w:rsidR="006A2A32" w:rsidRPr="00816E35" w:rsidRDefault="00A2410C" w:rsidP="006A2A32">
      <w:pPr>
        <w:spacing w:line="240" w:lineRule="auto"/>
        <w:rPr>
          <w:rFonts w:cstheme="minorHAnsi"/>
          <w:sz w:val="24"/>
          <w:szCs w:val="24"/>
        </w:rPr>
      </w:pPr>
      <w:r>
        <w:rPr>
          <w:rFonts w:cstheme="minorHAnsi"/>
          <w:sz w:val="24"/>
          <w:szCs w:val="24"/>
        </w:rPr>
        <w:tab/>
      </w:r>
      <w:r w:rsidR="006A2A32" w:rsidRPr="00816E35">
        <w:rPr>
          <w:rFonts w:cstheme="minorHAnsi"/>
          <w:sz w:val="24"/>
          <w:szCs w:val="24"/>
        </w:rPr>
        <w:t>A “crime victim” is defined as “a person who has suffered physical, sexual, financial or</w:t>
      </w:r>
      <w:r w:rsidR="00816E35">
        <w:rPr>
          <w:rFonts w:cstheme="minorHAnsi"/>
          <w:sz w:val="24"/>
          <w:szCs w:val="24"/>
        </w:rPr>
        <w:t xml:space="preserve"> </w:t>
      </w:r>
      <w:r w:rsidR="006A2A32" w:rsidRPr="00816E35">
        <w:rPr>
          <w:rFonts w:cstheme="minorHAnsi"/>
          <w:sz w:val="24"/>
          <w:szCs w:val="24"/>
        </w:rPr>
        <w:t>emotional harm as a result of the commission of a crime.” Services are defined as those</w:t>
      </w:r>
      <w:r w:rsidR="00816E35">
        <w:rPr>
          <w:rFonts w:cstheme="minorHAnsi"/>
          <w:sz w:val="24"/>
          <w:szCs w:val="24"/>
        </w:rPr>
        <w:t xml:space="preserve"> </w:t>
      </w:r>
      <w:r w:rsidR="006A2A32" w:rsidRPr="00816E35">
        <w:rPr>
          <w:rFonts w:cstheme="minorHAnsi"/>
          <w:sz w:val="24"/>
          <w:szCs w:val="24"/>
        </w:rPr>
        <w:t>efforts that:</w:t>
      </w:r>
    </w:p>
    <w:p w:rsidR="006A2A32" w:rsidRPr="00816E35" w:rsidRDefault="007955FA" w:rsidP="006A2A32">
      <w:pPr>
        <w:spacing w:line="240" w:lineRule="auto"/>
        <w:rPr>
          <w:rFonts w:cstheme="minorHAnsi"/>
          <w:sz w:val="24"/>
          <w:szCs w:val="24"/>
        </w:rPr>
      </w:pPr>
      <w:r>
        <w:rPr>
          <w:rFonts w:cstheme="minorHAnsi"/>
          <w:sz w:val="24"/>
          <w:szCs w:val="24"/>
        </w:rPr>
        <w:tab/>
      </w:r>
      <w:r w:rsidR="006A2A32" w:rsidRPr="00816E35">
        <w:rPr>
          <w:rFonts w:cstheme="minorHAnsi"/>
          <w:sz w:val="24"/>
          <w:szCs w:val="24"/>
        </w:rPr>
        <w:t>1. Respond to the emotional and physical needs of crime victims;</w:t>
      </w:r>
    </w:p>
    <w:p w:rsidR="006A2A32" w:rsidRPr="00816E35" w:rsidRDefault="007955FA" w:rsidP="006A2A32">
      <w:pPr>
        <w:spacing w:line="240" w:lineRule="auto"/>
        <w:rPr>
          <w:rFonts w:cstheme="minorHAnsi"/>
          <w:sz w:val="24"/>
          <w:szCs w:val="24"/>
        </w:rPr>
      </w:pPr>
      <w:r>
        <w:rPr>
          <w:rFonts w:cstheme="minorHAnsi"/>
          <w:sz w:val="24"/>
          <w:szCs w:val="24"/>
        </w:rPr>
        <w:lastRenderedPageBreak/>
        <w:tab/>
      </w:r>
      <w:r w:rsidR="006A2A32" w:rsidRPr="00816E35">
        <w:rPr>
          <w:rFonts w:cstheme="minorHAnsi"/>
          <w:sz w:val="24"/>
          <w:szCs w:val="24"/>
        </w:rPr>
        <w:t>2. Assist primary and secondary victims of crime to stabilize their lives after</w:t>
      </w:r>
      <w:r w:rsidR="00816E35">
        <w:rPr>
          <w:rFonts w:cstheme="minorHAnsi"/>
          <w:sz w:val="24"/>
          <w:szCs w:val="24"/>
        </w:rPr>
        <w:t xml:space="preserve"> </w:t>
      </w:r>
      <w:r>
        <w:rPr>
          <w:rFonts w:cstheme="minorHAnsi"/>
          <w:sz w:val="24"/>
          <w:szCs w:val="24"/>
        </w:rPr>
        <w:tab/>
      </w:r>
      <w:r w:rsidR="006A2A32" w:rsidRPr="00816E35">
        <w:rPr>
          <w:rFonts w:cstheme="minorHAnsi"/>
          <w:sz w:val="24"/>
          <w:szCs w:val="24"/>
        </w:rPr>
        <w:t>victimization;</w:t>
      </w:r>
    </w:p>
    <w:p w:rsidR="006A2A32" w:rsidRPr="00816E35" w:rsidRDefault="007955FA" w:rsidP="006A2A32">
      <w:pPr>
        <w:spacing w:line="240" w:lineRule="auto"/>
        <w:rPr>
          <w:rFonts w:cstheme="minorHAnsi"/>
          <w:sz w:val="24"/>
          <w:szCs w:val="24"/>
        </w:rPr>
      </w:pPr>
      <w:r>
        <w:rPr>
          <w:rFonts w:cstheme="minorHAnsi"/>
          <w:sz w:val="24"/>
          <w:szCs w:val="24"/>
        </w:rPr>
        <w:tab/>
      </w:r>
      <w:r w:rsidR="006A2A32" w:rsidRPr="00816E35">
        <w:rPr>
          <w:rFonts w:cstheme="minorHAnsi"/>
          <w:sz w:val="24"/>
          <w:szCs w:val="24"/>
        </w:rPr>
        <w:t>3. Assist victims of crime to understand and participate in the criminal justice</w:t>
      </w:r>
      <w:r w:rsidR="00816E35">
        <w:rPr>
          <w:rFonts w:cstheme="minorHAnsi"/>
          <w:sz w:val="24"/>
          <w:szCs w:val="24"/>
        </w:rPr>
        <w:t xml:space="preserve"> </w:t>
      </w:r>
      <w:r w:rsidR="006A2A32" w:rsidRPr="00816E35">
        <w:rPr>
          <w:rFonts w:cstheme="minorHAnsi"/>
          <w:sz w:val="24"/>
          <w:szCs w:val="24"/>
        </w:rPr>
        <w:t xml:space="preserve">system; </w:t>
      </w:r>
      <w:r>
        <w:rPr>
          <w:rFonts w:cstheme="minorHAnsi"/>
          <w:sz w:val="24"/>
          <w:szCs w:val="24"/>
        </w:rPr>
        <w:tab/>
      </w:r>
      <w:r w:rsidR="006A2A32" w:rsidRPr="00816E35">
        <w:rPr>
          <w:rFonts w:cstheme="minorHAnsi"/>
          <w:sz w:val="24"/>
          <w:szCs w:val="24"/>
        </w:rPr>
        <w:t>and</w:t>
      </w:r>
    </w:p>
    <w:p w:rsidR="006A2A32" w:rsidRDefault="007955FA" w:rsidP="006A2A32">
      <w:pPr>
        <w:spacing w:line="240" w:lineRule="auto"/>
        <w:rPr>
          <w:rFonts w:cstheme="minorHAnsi"/>
          <w:sz w:val="24"/>
          <w:szCs w:val="24"/>
        </w:rPr>
      </w:pPr>
      <w:r>
        <w:rPr>
          <w:rFonts w:cstheme="minorHAnsi"/>
          <w:sz w:val="24"/>
          <w:szCs w:val="24"/>
        </w:rPr>
        <w:tab/>
      </w:r>
      <w:r w:rsidR="006A2A32" w:rsidRPr="00816E35">
        <w:rPr>
          <w:rFonts w:cstheme="minorHAnsi"/>
          <w:sz w:val="24"/>
          <w:szCs w:val="24"/>
        </w:rPr>
        <w:t>4. Provide victims of crime with a measure of safety and security.</w:t>
      </w:r>
    </w:p>
    <w:p w:rsidR="002D4481" w:rsidRDefault="002D4481" w:rsidP="001F1505">
      <w:pPr>
        <w:pStyle w:val="Heading2"/>
      </w:pPr>
    </w:p>
    <w:p w:rsidR="007B5CD1" w:rsidRDefault="002B29F4" w:rsidP="001F1505">
      <w:pPr>
        <w:pStyle w:val="Heading2"/>
      </w:pPr>
      <w:bookmarkStart w:id="3" w:name="_Toc8299882"/>
      <w:r>
        <w:t xml:space="preserve">VOCA Advisory Committee and </w:t>
      </w:r>
      <w:r w:rsidR="007B5CD1">
        <w:t>Project</w:t>
      </w:r>
      <w:r w:rsidR="001F1505">
        <w:t xml:space="preserve"> Selection</w:t>
      </w:r>
      <w:bookmarkEnd w:id="3"/>
    </w:p>
    <w:p w:rsidR="00EB0084" w:rsidRDefault="001F1505" w:rsidP="00B94163">
      <w:pPr>
        <w:spacing w:line="240" w:lineRule="auto"/>
        <w:rPr>
          <w:sz w:val="24"/>
          <w:szCs w:val="24"/>
        </w:rPr>
      </w:pPr>
      <w:r>
        <w:rPr>
          <w:sz w:val="24"/>
          <w:szCs w:val="24"/>
        </w:rPr>
        <w:tab/>
      </w:r>
      <w:r w:rsidR="00B94163" w:rsidRPr="00B94163">
        <w:rPr>
          <w:sz w:val="24"/>
          <w:szCs w:val="24"/>
        </w:rPr>
        <w:t>Originally established in 1986, the VOCA Advisory Committee consists of volunteer</w:t>
      </w:r>
      <w:r w:rsidR="00B94163">
        <w:rPr>
          <w:sz w:val="24"/>
          <w:szCs w:val="24"/>
        </w:rPr>
        <w:t xml:space="preserve"> </w:t>
      </w:r>
      <w:r w:rsidR="00B94163" w:rsidRPr="00B94163">
        <w:rPr>
          <w:sz w:val="24"/>
          <w:szCs w:val="24"/>
        </w:rPr>
        <w:t>representatives from both the public and private sectors. The Committee meets throughout the</w:t>
      </w:r>
      <w:r w:rsidR="00B94163">
        <w:rPr>
          <w:sz w:val="24"/>
          <w:szCs w:val="24"/>
        </w:rPr>
        <w:t xml:space="preserve"> </w:t>
      </w:r>
      <w:r w:rsidR="00B94163" w:rsidRPr="00B94163">
        <w:rPr>
          <w:sz w:val="24"/>
          <w:szCs w:val="24"/>
        </w:rPr>
        <w:t xml:space="preserve">year and works with the </w:t>
      </w:r>
      <w:r w:rsidR="00EB0084">
        <w:rPr>
          <w:sz w:val="24"/>
          <w:szCs w:val="24"/>
        </w:rPr>
        <w:t>PSGAO</w:t>
      </w:r>
      <w:r w:rsidR="00B94163" w:rsidRPr="00B94163">
        <w:rPr>
          <w:sz w:val="24"/>
          <w:szCs w:val="24"/>
        </w:rPr>
        <w:t xml:space="preserve"> to identify the needs of</w:t>
      </w:r>
      <w:r w:rsidR="00B94163">
        <w:rPr>
          <w:sz w:val="24"/>
          <w:szCs w:val="24"/>
        </w:rPr>
        <w:t xml:space="preserve"> </w:t>
      </w:r>
      <w:r w:rsidR="00B94163" w:rsidRPr="00B94163">
        <w:rPr>
          <w:sz w:val="24"/>
          <w:szCs w:val="24"/>
        </w:rPr>
        <w:t>victims of crime, set goals for distribution of federal dollars, establish procedures for applicants</w:t>
      </w:r>
      <w:r w:rsidR="00B94163">
        <w:rPr>
          <w:sz w:val="24"/>
          <w:szCs w:val="24"/>
        </w:rPr>
        <w:t xml:space="preserve"> </w:t>
      </w:r>
      <w:r w:rsidR="00B94163" w:rsidRPr="00B94163">
        <w:rPr>
          <w:sz w:val="24"/>
          <w:szCs w:val="24"/>
        </w:rPr>
        <w:t>to submit grant requests, and make recommendations for the funding of grant programs.</w:t>
      </w:r>
    </w:p>
    <w:p w:rsidR="001F1505" w:rsidRDefault="00B94163" w:rsidP="00B94163">
      <w:pPr>
        <w:spacing w:line="240" w:lineRule="auto"/>
        <w:rPr>
          <w:sz w:val="24"/>
          <w:szCs w:val="24"/>
        </w:rPr>
      </w:pPr>
      <w:r>
        <w:rPr>
          <w:sz w:val="24"/>
          <w:szCs w:val="24"/>
        </w:rPr>
        <w:tab/>
      </w:r>
      <w:r w:rsidR="001F1505">
        <w:rPr>
          <w:sz w:val="24"/>
          <w:szCs w:val="24"/>
        </w:rPr>
        <w:t>The PSGAO does not make decisions on which projects receive funding</w:t>
      </w:r>
      <w:r w:rsidR="00EB0084">
        <w:rPr>
          <w:sz w:val="24"/>
          <w:szCs w:val="24"/>
        </w:rPr>
        <w:t>.</w:t>
      </w:r>
      <w:r w:rsidR="001F1505">
        <w:rPr>
          <w:sz w:val="24"/>
          <w:szCs w:val="24"/>
        </w:rPr>
        <w:t xml:space="preserve"> </w:t>
      </w:r>
      <w:r w:rsidR="00EB0084">
        <w:rPr>
          <w:sz w:val="24"/>
          <w:szCs w:val="24"/>
        </w:rPr>
        <w:t xml:space="preserve"> T</w:t>
      </w:r>
      <w:r w:rsidR="001F1505" w:rsidRPr="001F1505">
        <w:rPr>
          <w:sz w:val="24"/>
          <w:szCs w:val="24"/>
        </w:rPr>
        <w:t>he</w:t>
      </w:r>
      <w:r w:rsidR="001F1505">
        <w:rPr>
          <w:sz w:val="24"/>
          <w:szCs w:val="24"/>
        </w:rPr>
        <w:t xml:space="preserve"> </w:t>
      </w:r>
      <w:r w:rsidR="001F1505" w:rsidRPr="001F1505">
        <w:rPr>
          <w:sz w:val="24"/>
          <w:szCs w:val="24"/>
        </w:rPr>
        <w:t>VOCA Advisory Committee review</w:t>
      </w:r>
      <w:r w:rsidR="00EB0084">
        <w:rPr>
          <w:sz w:val="24"/>
          <w:szCs w:val="24"/>
        </w:rPr>
        <w:t>s</w:t>
      </w:r>
      <w:r w:rsidR="001F1505" w:rsidRPr="001F1505">
        <w:rPr>
          <w:sz w:val="24"/>
          <w:szCs w:val="24"/>
        </w:rPr>
        <w:t xml:space="preserve"> and rat</w:t>
      </w:r>
      <w:r w:rsidR="00EB0084">
        <w:rPr>
          <w:sz w:val="24"/>
          <w:szCs w:val="24"/>
        </w:rPr>
        <w:t>es</w:t>
      </w:r>
      <w:r w:rsidR="001F1505" w:rsidRPr="001F1505">
        <w:rPr>
          <w:sz w:val="24"/>
          <w:szCs w:val="24"/>
        </w:rPr>
        <w:t xml:space="preserve"> project proposals</w:t>
      </w:r>
      <w:r w:rsidR="00EB0084">
        <w:rPr>
          <w:sz w:val="24"/>
          <w:szCs w:val="24"/>
        </w:rPr>
        <w:t xml:space="preserve"> facilitated by the PSGAO</w:t>
      </w:r>
      <w:r w:rsidR="001F1505">
        <w:rPr>
          <w:sz w:val="24"/>
          <w:szCs w:val="24"/>
        </w:rPr>
        <w:t xml:space="preserve">.  For projects seeking a </w:t>
      </w:r>
      <w:r w:rsidR="00E24DB3">
        <w:rPr>
          <w:sz w:val="24"/>
          <w:szCs w:val="24"/>
        </w:rPr>
        <w:t xml:space="preserve">continuation of funding, the efficacy of the past program will be evaluated.  </w:t>
      </w:r>
      <w:r w:rsidR="001F1505">
        <w:rPr>
          <w:sz w:val="24"/>
          <w:szCs w:val="24"/>
        </w:rPr>
        <w:t>Final funding decisions are made by the VOCA Advisory Committee</w:t>
      </w:r>
      <w:r w:rsidR="004A3892">
        <w:rPr>
          <w:sz w:val="24"/>
          <w:szCs w:val="24"/>
        </w:rPr>
        <w:t xml:space="preserve"> and approved by the </w:t>
      </w:r>
      <w:r w:rsidR="004A3892" w:rsidRPr="001B6080">
        <w:rPr>
          <w:sz w:val="24"/>
          <w:szCs w:val="24"/>
        </w:rPr>
        <w:t>Criminal Justice Policy Board</w:t>
      </w:r>
      <w:r w:rsidR="004A3892">
        <w:rPr>
          <w:sz w:val="24"/>
          <w:szCs w:val="24"/>
        </w:rPr>
        <w:t>.</w:t>
      </w:r>
    </w:p>
    <w:p w:rsidR="001F1505" w:rsidRDefault="001F1505" w:rsidP="001F1505">
      <w:pPr>
        <w:rPr>
          <w:sz w:val="24"/>
          <w:szCs w:val="24"/>
        </w:rPr>
      </w:pPr>
      <w:r>
        <w:rPr>
          <w:sz w:val="24"/>
          <w:szCs w:val="24"/>
        </w:rPr>
        <w:tab/>
      </w:r>
      <w:r w:rsidRPr="001F1505">
        <w:rPr>
          <w:sz w:val="24"/>
          <w:szCs w:val="24"/>
        </w:rPr>
        <w:t>Applicants are encouraged to consider including how to connect their services to those victim populations who may have previously been underserved or unserved. Examples include: children victimized by the opioid crisis, individuals with disabilities, the homeless, victims who are LGBTQ, victims of financial exploitation, male survivors of sexual abuse, the elderly, people with limited English proficiency</w:t>
      </w:r>
      <w:r>
        <w:rPr>
          <w:sz w:val="24"/>
          <w:szCs w:val="24"/>
        </w:rPr>
        <w:t xml:space="preserve">, and non-citizens. </w:t>
      </w:r>
    </w:p>
    <w:p w:rsidR="001F1505" w:rsidRDefault="001F1505" w:rsidP="001F1505">
      <w:pPr>
        <w:rPr>
          <w:sz w:val="24"/>
          <w:szCs w:val="24"/>
        </w:rPr>
      </w:pPr>
    </w:p>
    <w:p w:rsidR="001F1505" w:rsidRDefault="001F1505" w:rsidP="001F1505">
      <w:pPr>
        <w:pStyle w:val="Heading2"/>
      </w:pPr>
      <w:bookmarkStart w:id="4" w:name="_Toc8299883"/>
      <w:r>
        <w:t>Project Period</w:t>
      </w:r>
      <w:bookmarkEnd w:id="4"/>
    </w:p>
    <w:p w:rsidR="001F1505" w:rsidRDefault="001F1505" w:rsidP="001F1505">
      <w:pPr>
        <w:rPr>
          <w:sz w:val="24"/>
          <w:szCs w:val="24"/>
        </w:rPr>
      </w:pPr>
      <w:r>
        <w:rPr>
          <w:sz w:val="24"/>
          <w:szCs w:val="24"/>
        </w:rPr>
        <w:tab/>
      </w:r>
      <w:r w:rsidRPr="001F1505">
        <w:rPr>
          <w:sz w:val="24"/>
          <w:szCs w:val="24"/>
        </w:rPr>
        <w:t>Continuation funding of existing projects is not guaranteed</w:t>
      </w:r>
      <w:r>
        <w:rPr>
          <w:sz w:val="24"/>
          <w:szCs w:val="24"/>
        </w:rPr>
        <w:t xml:space="preserve"> and subrecipients must reapply for funding.  </w:t>
      </w:r>
      <w:r w:rsidRPr="001F1505">
        <w:rPr>
          <w:sz w:val="24"/>
          <w:szCs w:val="24"/>
        </w:rPr>
        <w:t xml:space="preserve">Projects selected for funding will be awarded for a period of performance of one year or two years. New projects will only be </w:t>
      </w:r>
      <w:r w:rsidR="00EB0084">
        <w:rPr>
          <w:sz w:val="24"/>
          <w:szCs w:val="24"/>
        </w:rPr>
        <w:t>funded</w:t>
      </w:r>
      <w:r w:rsidRPr="001F1505">
        <w:rPr>
          <w:sz w:val="24"/>
          <w:szCs w:val="24"/>
        </w:rPr>
        <w:t xml:space="preserve"> for one-year, </w:t>
      </w:r>
      <w:r>
        <w:rPr>
          <w:sz w:val="24"/>
          <w:szCs w:val="24"/>
        </w:rPr>
        <w:t xml:space="preserve">and </w:t>
      </w:r>
      <w:r w:rsidRPr="001F1505">
        <w:rPr>
          <w:sz w:val="24"/>
          <w:szCs w:val="24"/>
        </w:rPr>
        <w:t>continuing projects are not guaranteed two years of funding.</w:t>
      </w:r>
      <w:r w:rsidR="004A3892">
        <w:rPr>
          <w:sz w:val="24"/>
          <w:szCs w:val="24"/>
        </w:rPr>
        <w:t xml:space="preserve">  The award period usually begins October and runs to the following September 30.</w:t>
      </w:r>
    </w:p>
    <w:p w:rsidR="00E933C6" w:rsidRDefault="00E933C6" w:rsidP="001F1505">
      <w:pPr>
        <w:rPr>
          <w:sz w:val="24"/>
          <w:szCs w:val="24"/>
        </w:rPr>
      </w:pPr>
    </w:p>
    <w:p w:rsidR="00E933C6" w:rsidRDefault="00BB0A85" w:rsidP="00BB0A85">
      <w:pPr>
        <w:pStyle w:val="Heading2"/>
      </w:pPr>
      <w:bookmarkStart w:id="5" w:name="_Toc8299884"/>
      <w:r>
        <w:t xml:space="preserve">Applicable </w:t>
      </w:r>
      <w:r w:rsidR="009F0F03">
        <w:t>Federal Regulations</w:t>
      </w:r>
      <w:bookmarkEnd w:id="5"/>
    </w:p>
    <w:p w:rsidR="00BB0A85" w:rsidRDefault="008B5149" w:rsidP="001F1505">
      <w:pPr>
        <w:rPr>
          <w:sz w:val="24"/>
          <w:szCs w:val="24"/>
        </w:rPr>
      </w:pPr>
      <w:r>
        <w:rPr>
          <w:sz w:val="24"/>
          <w:szCs w:val="24"/>
        </w:rPr>
        <w:tab/>
      </w:r>
      <w:r w:rsidR="00BB0A85">
        <w:rPr>
          <w:sz w:val="24"/>
          <w:szCs w:val="24"/>
        </w:rPr>
        <w:t xml:space="preserve">The Federal regulations governing VOCA </w:t>
      </w:r>
      <w:r w:rsidR="00670C80">
        <w:rPr>
          <w:sz w:val="24"/>
          <w:szCs w:val="24"/>
        </w:rPr>
        <w:t>are located in various sources</w:t>
      </w:r>
      <w:r w:rsidR="005F7F18">
        <w:rPr>
          <w:sz w:val="24"/>
          <w:szCs w:val="24"/>
        </w:rPr>
        <w:t xml:space="preserve"> (Links in Appendix A)</w:t>
      </w:r>
      <w:r w:rsidR="006015DF">
        <w:rPr>
          <w:sz w:val="24"/>
          <w:szCs w:val="24"/>
        </w:rPr>
        <w:t>:</w:t>
      </w:r>
    </w:p>
    <w:p w:rsidR="00BB0A85" w:rsidRPr="00BB0A85" w:rsidRDefault="008B5149" w:rsidP="00BB0A85">
      <w:pPr>
        <w:pStyle w:val="ListParagraph"/>
        <w:numPr>
          <w:ilvl w:val="0"/>
          <w:numId w:val="4"/>
        </w:numPr>
        <w:rPr>
          <w:sz w:val="24"/>
          <w:szCs w:val="24"/>
        </w:rPr>
      </w:pPr>
      <w:r w:rsidRPr="00BB0A85">
        <w:rPr>
          <w:sz w:val="24"/>
          <w:szCs w:val="24"/>
        </w:rPr>
        <w:t xml:space="preserve">Federal grants, including VOCA, are governed </w:t>
      </w:r>
      <w:r w:rsidR="00516C09" w:rsidRPr="00BB0A85">
        <w:rPr>
          <w:sz w:val="24"/>
          <w:szCs w:val="24"/>
        </w:rPr>
        <w:t xml:space="preserve">generally </w:t>
      </w:r>
      <w:r w:rsidRPr="00BB0A85">
        <w:rPr>
          <w:sz w:val="24"/>
          <w:szCs w:val="24"/>
        </w:rPr>
        <w:t>under Grants and Agreements, 2 C.F.R. § 200</w:t>
      </w:r>
      <w:r w:rsidR="00F9409A">
        <w:rPr>
          <w:sz w:val="24"/>
          <w:szCs w:val="24"/>
        </w:rPr>
        <w:t xml:space="preserve"> and more specifically in 28 C.F.R. </w:t>
      </w:r>
      <w:r w:rsidR="00F9409A" w:rsidRPr="00BB0A85">
        <w:rPr>
          <w:sz w:val="24"/>
          <w:szCs w:val="24"/>
        </w:rPr>
        <w:t xml:space="preserve">§ </w:t>
      </w:r>
      <w:r w:rsidR="00F9409A">
        <w:rPr>
          <w:sz w:val="24"/>
          <w:szCs w:val="24"/>
        </w:rPr>
        <w:t>94</w:t>
      </w:r>
      <w:r w:rsidR="00AF08AB">
        <w:rPr>
          <w:sz w:val="24"/>
          <w:szCs w:val="24"/>
        </w:rPr>
        <w:t xml:space="preserve"> subpart B</w:t>
      </w:r>
      <w:r w:rsidR="00516C09" w:rsidRPr="00BB0A85">
        <w:rPr>
          <w:sz w:val="24"/>
          <w:szCs w:val="24"/>
        </w:rPr>
        <w:t xml:space="preserve">.  </w:t>
      </w:r>
    </w:p>
    <w:p w:rsidR="00F9409A" w:rsidRPr="00F9409A" w:rsidRDefault="00BB0A85" w:rsidP="00F9409A">
      <w:pPr>
        <w:pStyle w:val="ListParagraph"/>
        <w:numPr>
          <w:ilvl w:val="0"/>
          <w:numId w:val="4"/>
        </w:numPr>
        <w:rPr>
          <w:sz w:val="24"/>
          <w:szCs w:val="24"/>
        </w:rPr>
      </w:pPr>
      <w:r>
        <w:rPr>
          <w:sz w:val="24"/>
          <w:szCs w:val="24"/>
        </w:rPr>
        <w:lastRenderedPageBreak/>
        <w:t>The</w:t>
      </w:r>
      <w:r w:rsidR="00516C09" w:rsidRPr="00BB0A85">
        <w:rPr>
          <w:sz w:val="24"/>
          <w:szCs w:val="24"/>
        </w:rPr>
        <w:t xml:space="preserve"> Department of Justice, Office of Justice Programs, Office for Victims of Crime has promulgated VOCA specific final guidelines </w:t>
      </w:r>
      <w:r w:rsidRPr="00BB0A85">
        <w:rPr>
          <w:sz w:val="24"/>
          <w:szCs w:val="24"/>
        </w:rPr>
        <w:t>with in</w:t>
      </w:r>
      <w:r w:rsidR="00EB0084">
        <w:rPr>
          <w:sz w:val="24"/>
          <w:szCs w:val="24"/>
        </w:rPr>
        <w:t>-</w:t>
      </w:r>
      <w:r w:rsidRPr="00BB0A85">
        <w:rPr>
          <w:sz w:val="24"/>
          <w:szCs w:val="24"/>
        </w:rPr>
        <w:t xml:space="preserve">depth rules concerning the programmatic aspects of the VOCA grant.  </w:t>
      </w:r>
    </w:p>
    <w:p w:rsidR="00E24DB3" w:rsidRDefault="00BB0A85" w:rsidP="00670C80">
      <w:pPr>
        <w:pStyle w:val="ListParagraph"/>
        <w:numPr>
          <w:ilvl w:val="0"/>
          <w:numId w:val="4"/>
        </w:numPr>
        <w:rPr>
          <w:sz w:val="24"/>
          <w:szCs w:val="24"/>
        </w:rPr>
      </w:pPr>
      <w:r w:rsidRPr="00BB0A85">
        <w:rPr>
          <w:sz w:val="24"/>
          <w:szCs w:val="24"/>
        </w:rPr>
        <w:t xml:space="preserve">The Department of Justice </w:t>
      </w:r>
      <w:r>
        <w:rPr>
          <w:sz w:val="24"/>
          <w:szCs w:val="24"/>
        </w:rPr>
        <w:t xml:space="preserve">Grants Financial Guide </w:t>
      </w:r>
      <w:r w:rsidR="00670C80" w:rsidRPr="00670C80">
        <w:rPr>
          <w:sz w:val="24"/>
          <w:szCs w:val="24"/>
        </w:rPr>
        <w:t>serve</w:t>
      </w:r>
      <w:r w:rsidR="00670C80">
        <w:rPr>
          <w:sz w:val="24"/>
          <w:szCs w:val="24"/>
        </w:rPr>
        <w:t>s</w:t>
      </w:r>
      <w:r w:rsidR="00670C80" w:rsidRPr="00670C80">
        <w:rPr>
          <w:sz w:val="24"/>
          <w:szCs w:val="24"/>
        </w:rPr>
        <w:t xml:space="preserve"> as a compilation of the various laws and regulations governing DOJ grants financial management and</w:t>
      </w:r>
      <w:r w:rsidR="00670C80">
        <w:rPr>
          <w:sz w:val="24"/>
          <w:szCs w:val="24"/>
        </w:rPr>
        <w:t xml:space="preserve"> </w:t>
      </w:r>
      <w:r w:rsidR="00670C80" w:rsidRPr="00670C80">
        <w:rPr>
          <w:sz w:val="24"/>
          <w:szCs w:val="24"/>
        </w:rPr>
        <w:t>administration</w:t>
      </w:r>
      <w:r w:rsidR="00670C80">
        <w:rPr>
          <w:sz w:val="24"/>
          <w:szCs w:val="24"/>
        </w:rPr>
        <w:t xml:space="preserve">.  The Guide is the </w:t>
      </w:r>
      <w:r w:rsidR="00670C80" w:rsidRPr="00670C80">
        <w:rPr>
          <w:sz w:val="24"/>
          <w:szCs w:val="24"/>
        </w:rPr>
        <w:t>starting point for all recipients and subrecipients of DOJ grants and cooperative</w:t>
      </w:r>
      <w:r w:rsidR="00670C80">
        <w:rPr>
          <w:sz w:val="24"/>
          <w:szCs w:val="24"/>
        </w:rPr>
        <w:t xml:space="preserve"> </w:t>
      </w:r>
      <w:r w:rsidR="00670C80" w:rsidRPr="00670C80">
        <w:rPr>
          <w:sz w:val="24"/>
          <w:szCs w:val="24"/>
        </w:rPr>
        <w:t>agreements in ensuring the effective day-to-day management of awards</w:t>
      </w:r>
      <w:r w:rsidR="00670C80">
        <w:rPr>
          <w:sz w:val="24"/>
          <w:szCs w:val="24"/>
        </w:rPr>
        <w:t>.</w:t>
      </w:r>
    </w:p>
    <w:p w:rsidR="00670C80" w:rsidRDefault="00670C80" w:rsidP="00670C80">
      <w:pPr>
        <w:pStyle w:val="ListParagraph"/>
        <w:numPr>
          <w:ilvl w:val="0"/>
          <w:numId w:val="4"/>
        </w:numPr>
        <w:rPr>
          <w:sz w:val="24"/>
          <w:szCs w:val="24"/>
        </w:rPr>
      </w:pPr>
      <w:r>
        <w:rPr>
          <w:sz w:val="24"/>
          <w:szCs w:val="24"/>
        </w:rPr>
        <w:t xml:space="preserve">Additionally, each </w:t>
      </w:r>
      <w:r w:rsidR="000C0F6C">
        <w:rPr>
          <w:sz w:val="24"/>
          <w:szCs w:val="24"/>
        </w:rPr>
        <w:t>subrecipient</w:t>
      </w:r>
      <w:r>
        <w:rPr>
          <w:sz w:val="24"/>
          <w:szCs w:val="24"/>
        </w:rPr>
        <w:t xml:space="preserve"> may be subject to unique terms and conditions that are contained in the individual grant award.</w:t>
      </w:r>
    </w:p>
    <w:p w:rsidR="00897689" w:rsidRDefault="00897689" w:rsidP="00897689">
      <w:pPr>
        <w:pStyle w:val="ListParagraph"/>
        <w:ind w:left="360"/>
        <w:rPr>
          <w:sz w:val="24"/>
          <w:szCs w:val="24"/>
        </w:rPr>
      </w:pPr>
    </w:p>
    <w:p w:rsidR="00897689" w:rsidRDefault="00897689" w:rsidP="00897689">
      <w:pPr>
        <w:pStyle w:val="Heading2"/>
      </w:pPr>
      <w:bookmarkStart w:id="6" w:name="_Toc8299885"/>
      <w:r>
        <w:t>Performance Measurement Tool</w:t>
      </w:r>
      <w:bookmarkEnd w:id="6"/>
    </w:p>
    <w:p w:rsidR="00897689" w:rsidRPr="00897689" w:rsidRDefault="00897689" w:rsidP="00897689">
      <w:pPr>
        <w:rPr>
          <w:sz w:val="24"/>
          <w:szCs w:val="24"/>
        </w:rPr>
      </w:pPr>
      <w:r w:rsidRPr="00897689">
        <w:rPr>
          <w:sz w:val="24"/>
          <w:szCs w:val="24"/>
        </w:rPr>
        <w:tab/>
        <w:t xml:space="preserve">The </w:t>
      </w:r>
      <w:r>
        <w:rPr>
          <w:sz w:val="24"/>
          <w:szCs w:val="24"/>
        </w:rPr>
        <w:t>OVC uses a data collection system called the Performance Measurement Tool (PMT) to collect statistical data relevant to the grant as one means to assess the overall success of a grant program and track how a grant is progressing towards the goals outlined in the application.  Subrecipients will need to track and input the data requested by OVC</w:t>
      </w:r>
      <w:r w:rsidR="009F67A3">
        <w:rPr>
          <w:sz w:val="24"/>
          <w:szCs w:val="24"/>
        </w:rPr>
        <w:t xml:space="preserve"> in order to be reimbursed.</w:t>
      </w:r>
    </w:p>
    <w:p w:rsidR="009E7EC3" w:rsidRDefault="009E7EC3" w:rsidP="00260281">
      <w:pPr>
        <w:pStyle w:val="Heading1"/>
        <w:jc w:val="center"/>
      </w:pPr>
    </w:p>
    <w:p w:rsidR="00816E35" w:rsidRPr="00D32361" w:rsidRDefault="00816E35" w:rsidP="00260281">
      <w:pPr>
        <w:pStyle w:val="Heading1"/>
        <w:jc w:val="center"/>
      </w:pPr>
      <w:bookmarkStart w:id="7" w:name="_Toc8299886"/>
      <w:r w:rsidRPr="00D32361">
        <w:t>ELIGIBLE APPLICANTS</w:t>
      </w:r>
      <w:bookmarkEnd w:id="7"/>
    </w:p>
    <w:p w:rsidR="00816E35" w:rsidRPr="00816E35" w:rsidRDefault="00816E35" w:rsidP="00816E35">
      <w:pPr>
        <w:spacing w:line="240" w:lineRule="auto"/>
        <w:rPr>
          <w:rFonts w:cstheme="minorHAnsi"/>
          <w:sz w:val="24"/>
          <w:szCs w:val="24"/>
        </w:rPr>
      </w:pPr>
      <w:r w:rsidRPr="00816E35">
        <w:rPr>
          <w:rFonts w:cstheme="minorHAnsi"/>
          <w:sz w:val="24"/>
          <w:szCs w:val="24"/>
        </w:rPr>
        <w:t xml:space="preserve">The </w:t>
      </w:r>
      <w:r w:rsidR="00A2410C">
        <w:rPr>
          <w:rFonts w:cstheme="minorHAnsi"/>
          <w:sz w:val="24"/>
          <w:szCs w:val="24"/>
        </w:rPr>
        <w:t>PSGAO</w:t>
      </w:r>
      <w:r w:rsidRPr="00816E35">
        <w:rPr>
          <w:rFonts w:cstheme="minorHAnsi"/>
          <w:sz w:val="24"/>
          <w:szCs w:val="24"/>
        </w:rPr>
        <w:t xml:space="preserve"> is required to ensure that the following conditions or requirements are met:</w:t>
      </w:r>
    </w:p>
    <w:p w:rsidR="00816E35" w:rsidRPr="00816E35" w:rsidRDefault="009F67A3" w:rsidP="00816E35">
      <w:pPr>
        <w:spacing w:line="240" w:lineRule="auto"/>
        <w:rPr>
          <w:rFonts w:cstheme="minorHAnsi"/>
          <w:sz w:val="24"/>
          <w:szCs w:val="24"/>
        </w:rPr>
      </w:pPr>
      <w:r>
        <w:rPr>
          <w:rFonts w:cstheme="minorHAnsi"/>
          <w:sz w:val="24"/>
          <w:szCs w:val="24"/>
        </w:rPr>
        <w:tab/>
      </w:r>
      <w:r w:rsidR="00816E35" w:rsidRPr="00816E35">
        <w:rPr>
          <w:rFonts w:cstheme="minorHAnsi"/>
          <w:sz w:val="24"/>
          <w:szCs w:val="24"/>
        </w:rPr>
        <w:t xml:space="preserve">a. </w:t>
      </w:r>
      <w:r w:rsidR="00437089">
        <w:rPr>
          <w:rFonts w:cstheme="minorHAnsi"/>
          <w:sz w:val="24"/>
          <w:szCs w:val="24"/>
        </w:rPr>
        <w:t>Subrecipient</w:t>
      </w:r>
      <w:r w:rsidR="00816E35" w:rsidRPr="00816E35">
        <w:rPr>
          <w:rFonts w:cstheme="minorHAnsi"/>
          <w:sz w:val="24"/>
          <w:szCs w:val="24"/>
        </w:rPr>
        <w:t xml:space="preserve"> shall be operated by a public agency or a non-profit organization and provide direct services to crime victims. A non-profit applicant shall certify that it is a non-profit organization eligible to receive federal funds.</w:t>
      </w:r>
    </w:p>
    <w:p w:rsidR="00816E35" w:rsidRPr="00816E35" w:rsidRDefault="009F67A3" w:rsidP="00816E35">
      <w:pPr>
        <w:spacing w:line="240" w:lineRule="auto"/>
        <w:rPr>
          <w:rFonts w:cstheme="minorHAnsi"/>
          <w:sz w:val="24"/>
          <w:szCs w:val="24"/>
        </w:rPr>
      </w:pPr>
      <w:r>
        <w:rPr>
          <w:rFonts w:cstheme="minorHAnsi"/>
          <w:sz w:val="24"/>
          <w:szCs w:val="24"/>
        </w:rPr>
        <w:tab/>
      </w:r>
      <w:r w:rsidR="00816E35" w:rsidRPr="00816E35">
        <w:rPr>
          <w:rFonts w:cstheme="minorHAnsi"/>
          <w:sz w:val="24"/>
          <w:szCs w:val="24"/>
        </w:rPr>
        <w:t xml:space="preserve">b. </w:t>
      </w:r>
      <w:r w:rsidR="00437089">
        <w:rPr>
          <w:rFonts w:cstheme="minorHAnsi"/>
          <w:sz w:val="24"/>
          <w:szCs w:val="24"/>
        </w:rPr>
        <w:t>Subrecipient</w:t>
      </w:r>
      <w:r w:rsidR="00816E35" w:rsidRPr="00816E35">
        <w:rPr>
          <w:rFonts w:cstheme="minorHAnsi"/>
          <w:sz w:val="24"/>
          <w:szCs w:val="24"/>
        </w:rPr>
        <w:t xml:space="preserve"> shall demonstrate a record of providing effective services to crime</w:t>
      </w:r>
      <w:r w:rsidR="00816E35">
        <w:rPr>
          <w:rFonts w:cstheme="minorHAnsi"/>
          <w:sz w:val="24"/>
          <w:szCs w:val="24"/>
        </w:rPr>
        <w:t xml:space="preserve"> </w:t>
      </w:r>
      <w:r w:rsidR="00816E35" w:rsidRPr="00816E35">
        <w:rPr>
          <w:rFonts w:cstheme="minorHAnsi"/>
          <w:sz w:val="24"/>
          <w:szCs w:val="24"/>
        </w:rPr>
        <w:t>victims. This includes having the support and approval of its services by</w:t>
      </w:r>
      <w:r w:rsidR="00816E35">
        <w:rPr>
          <w:rFonts w:cstheme="minorHAnsi"/>
          <w:sz w:val="24"/>
          <w:szCs w:val="24"/>
        </w:rPr>
        <w:t xml:space="preserve"> </w:t>
      </w:r>
      <w:r w:rsidR="00816E35" w:rsidRPr="00816E35">
        <w:rPr>
          <w:rFonts w:cstheme="minorHAnsi"/>
          <w:sz w:val="24"/>
          <w:szCs w:val="24"/>
        </w:rPr>
        <w:t>the community, a history of providing direct services in a cost-effective</w:t>
      </w:r>
      <w:r w:rsidR="00816E35">
        <w:rPr>
          <w:rFonts w:cstheme="minorHAnsi"/>
          <w:sz w:val="24"/>
          <w:szCs w:val="24"/>
        </w:rPr>
        <w:t xml:space="preserve"> </w:t>
      </w:r>
      <w:r w:rsidR="00816E35" w:rsidRPr="00816E35">
        <w:rPr>
          <w:rFonts w:cstheme="minorHAnsi"/>
          <w:sz w:val="24"/>
          <w:szCs w:val="24"/>
        </w:rPr>
        <w:t>manner, and financial support from non-federal sources.</w:t>
      </w:r>
    </w:p>
    <w:p w:rsidR="00816E35" w:rsidRDefault="009F67A3" w:rsidP="00A2410C">
      <w:pPr>
        <w:spacing w:line="240" w:lineRule="auto"/>
        <w:rPr>
          <w:rFonts w:cstheme="minorHAnsi"/>
          <w:sz w:val="24"/>
          <w:szCs w:val="24"/>
        </w:rPr>
      </w:pPr>
      <w:r>
        <w:rPr>
          <w:rFonts w:cstheme="minorHAnsi"/>
          <w:sz w:val="24"/>
          <w:szCs w:val="24"/>
        </w:rPr>
        <w:tab/>
      </w:r>
      <w:r w:rsidR="00816E35" w:rsidRPr="00816E35">
        <w:rPr>
          <w:rFonts w:cstheme="minorHAnsi"/>
          <w:sz w:val="24"/>
          <w:szCs w:val="24"/>
        </w:rPr>
        <w:t xml:space="preserve">c. </w:t>
      </w:r>
      <w:r w:rsidR="00437089">
        <w:rPr>
          <w:rFonts w:cstheme="minorHAnsi"/>
          <w:sz w:val="24"/>
          <w:szCs w:val="24"/>
        </w:rPr>
        <w:t>Subrecipient</w:t>
      </w:r>
      <w:r w:rsidR="00816E35" w:rsidRPr="00816E35">
        <w:rPr>
          <w:rFonts w:cstheme="minorHAnsi"/>
          <w:sz w:val="24"/>
          <w:szCs w:val="24"/>
        </w:rPr>
        <w:t xml:space="preserve"> shall demonstrate that it is capable of providing matching</w:t>
      </w:r>
      <w:r w:rsidR="00816E35">
        <w:rPr>
          <w:rFonts w:cstheme="minorHAnsi"/>
          <w:sz w:val="24"/>
          <w:szCs w:val="24"/>
        </w:rPr>
        <w:t xml:space="preserve"> </w:t>
      </w:r>
      <w:r w:rsidR="00816E35" w:rsidRPr="00816E35">
        <w:rPr>
          <w:rFonts w:cstheme="minorHAnsi"/>
          <w:sz w:val="24"/>
          <w:szCs w:val="24"/>
        </w:rPr>
        <w:t>contributions of 20 percent (20%) – cash or in-kind – of the total cost of</w:t>
      </w:r>
      <w:r w:rsidR="00816E35">
        <w:rPr>
          <w:rFonts w:cstheme="minorHAnsi"/>
          <w:sz w:val="24"/>
          <w:szCs w:val="24"/>
        </w:rPr>
        <w:t xml:space="preserve"> </w:t>
      </w:r>
      <w:r w:rsidR="00816E35" w:rsidRPr="00816E35">
        <w:rPr>
          <w:rFonts w:cstheme="minorHAnsi"/>
          <w:sz w:val="24"/>
          <w:szCs w:val="24"/>
        </w:rPr>
        <w:t>each VOCA project, i.e., VOCA grant plus match, from non-federal</w:t>
      </w:r>
      <w:r w:rsidR="00816E35">
        <w:rPr>
          <w:rFonts w:cstheme="minorHAnsi"/>
          <w:sz w:val="24"/>
          <w:szCs w:val="24"/>
        </w:rPr>
        <w:t xml:space="preserve"> </w:t>
      </w:r>
      <w:r w:rsidR="00816E35" w:rsidRPr="00816E35">
        <w:rPr>
          <w:rFonts w:cstheme="minorHAnsi"/>
          <w:sz w:val="24"/>
          <w:szCs w:val="24"/>
        </w:rPr>
        <w:t>sources. All funds designated as match funds are restricted to the same</w:t>
      </w:r>
      <w:r w:rsidR="00816E35">
        <w:rPr>
          <w:rFonts w:cstheme="minorHAnsi"/>
          <w:sz w:val="24"/>
          <w:szCs w:val="24"/>
        </w:rPr>
        <w:t xml:space="preserve"> </w:t>
      </w:r>
      <w:r w:rsidR="00816E35" w:rsidRPr="00816E35">
        <w:rPr>
          <w:rFonts w:cstheme="minorHAnsi"/>
          <w:sz w:val="24"/>
          <w:szCs w:val="24"/>
        </w:rPr>
        <w:t xml:space="preserve">uses as the VOCA </w:t>
      </w:r>
      <w:r w:rsidR="00EB0084">
        <w:rPr>
          <w:rFonts w:cstheme="minorHAnsi"/>
          <w:sz w:val="24"/>
          <w:szCs w:val="24"/>
        </w:rPr>
        <w:t>g</w:t>
      </w:r>
      <w:r w:rsidR="00816E35" w:rsidRPr="00816E35">
        <w:rPr>
          <w:rFonts w:cstheme="minorHAnsi"/>
          <w:sz w:val="24"/>
          <w:szCs w:val="24"/>
        </w:rPr>
        <w:t>rant funds and shall be expended within the grant</w:t>
      </w:r>
      <w:r w:rsidR="00A2410C">
        <w:rPr>
          <w:rFonts w:cstheme="minorHAnsi"/>
          <w:sz w:val="24"/>
          <w:szCs w:val="24"/>
        </w:rPr>
        <w:t xml:space="preserve"> </w:t>
      </w:r>
      <w:r w:rsidR="00816E35" w:rsidRPr="00816E35">
        <w:rPr>
          <w:rFonts w:cstheme="minorHAnsi"/>
          <w:sz w:val="24"/>
          <w:szCs w:val="24"/>
        </w:rPr>
        <w:t>period.</w:t>
      </w:r>
      <w:r w:rsidR="00157000">
        <w:rPr>
          <w:rFonts w:cstheme="minorHAnsi"/>
          <w:sz w:val="24"/>
          <w:szCs w:val="24"/>
        </w:rPr>
        <w:t xml:space="preserve">  </w:t>
      </w:r>
      <w:r w:rsidR="005B7FC2">
        <w:rPr>
          <w:rFonts w:cstheme="minorHAnsi"/>
          <w:sz w:val="24"/>
          <w:szCs w:val="24"/>
        </w:rPr>
        <w:t>The basis for determining m</w:t>
      </w:r>
      <w:r w:rsidR="00157000">
        <w:rPr>
          <w:rFonts w:cstheme="minorHAnsi"/>
          <w:sz w:val="24"/>
          <w:szCs w:val="24"/>
        </w:rPr>
        <w:t>atch funds</w:t>
      </w:r>
      <w:r w:rsidR="005B7FC2">
        <w:rPr>
          <w:rFonts w:cstheme="minorHAnsi"/>
          <w:sz w:val="24"/>
          <w:szCs w:val="24"/>
        </w:rPr>
        <w:t xml:space="preserve"> must be documented.</w:t>
      </w:r>
    </w:p>
    <w:p w:rsidR="005A6A4E" w:rsidRPr="00816E35" w:rsidRDefault="009F67A3" w:rsidP="00A2410C">
      <w:pPr>
        <w:spacing w:line="240" w:lineRule="auto"/>
        <w:rPr>
          <w:rFonts w:cstheme="minorHAnsi"/>
          <w:sz w:val="24"/>
          <w:szCs w:val="24"/>
        </w:rPr>
      </w:pPr>
      <w:r>
        <w:rPr>
          <w:rFonts w:cstheme="minorHAnsi"/>
          <w:sz w:val="24"/>
          <w:szCs w:val="24"/>
        </w:rPr>
        <w:tab/>
      </w:r>
      <w:r w:rsidR="005A6A4E" w:rsidRPr="005A6A4E">
        <w:rPr>
          <w:rFonts w:cstheme="minorHAnsi"/>
          <w:sz w:val="24"/>
          <w:szCs w:val="24"/>
        </w:rPr>
        <w:t xml:space="preserve">In-kind match may include donations of expendable equipment, office supplies, workshop or classroom materials, work space, or the monetary value of time contributed by professional and technical personnel and other skilled and unskilled labor, if the services they provide are an integral and necessary part of a funded project. The value placed on loaned or donated equipment may not exceed its fair rental value. The value placed on donated services must be consistent with the rate of compensation paid for similar work in the organization or </w:t>
      </w:r>
      <w:r w:rsidR="005A6A4E" w:rsidRPr="005A6A4E">
        <w:rPr>
          <w:rFonts w:cstheme="minorHAnsi"/>
          <w:sz w:val="24"/>
          <w:szCs w:val="24"/>
        </w:rPr>
        <w:lastRenderedPageBreak/>
        <w:t xml:space="preserve">the labor market. Fringe benefits may be included in the valuation. Volunteer services must be documented and, to the extent feasible, supported by the same methods used by </w:t>
      </w:r>
      <w:r w:rsidR="00EB0084">
        <w:rPr>
          <w:rFonts w:cstheme="minorHAnsi"/>
          <w:sz w:val="24"/>
          <w:szCs w:val="24"/>
        </w:rPr>
        <w:t>s</w:t>
      </w:r>
      <w:r w:rsidR="00437089">
        <w:rPr>
          <w:rFonts w:cstheme="minorHAnsi"/>
          <w:sz w:val="24"/>
          <w:szCs w:val="24"/>
        </w:rPr>
        <w:t>ubrecipient</w:t>
      </w:r>
      <w:r w:rsidR="005A6A4E" w:rsidRPr="005A6A4E">
        <w:rPr>
          <w:rFonts w:cstheme="minorHAnsi"/>
          <w:sz w:val="24"/>
          <w:szCs w:val="24"/>
        </w:rPr>
        <w:t xml:space="preserve"> for its own employees. The value of donated space may not exceed the fair rental value of comparable space as established by an independent appraisal of comparable space and facilities in a </w:t>
      </w:r>
      <w:proofErr w:type="gramStart"/>
      <w:r w:rsidR="005A6A4E" w:rsidRPr="005A6A4E">
        <w:rPr>
          <w:rFonts w:cstheme="minorHAnsi"/>
          <w:sz w:val="24"/>
          <w:szCs w:val="24"/>
        </w:rPr>
        <w:t>privately owned</w:t>
      </w:r>
      <w:proofErr w:type="gramEnd"/>
      <w:r w:rsidR="005A6A4E" w:rsidRPr="005A6A4E">
        <w:rPr>
          <w:rFonts w:cstheme="minorHAnsi"/>
          <w:sz w:val="24"/>
          <w:szCs w:val="24"/>
        </w:rPr>
        <w:t xml:space="preserve"> building in the same locality. The basis for determining the value of personal services, materials, equipment, and space must be documented. Matching funds are subject to the same conditions as the federal funds.   </w:t>
      </w:r>
    </w:p>
    <w:p w:rsidR="00816E35" w:rsidRPr="00816E35" w:rsidRDefault="009F67A3" w:rsidP="00816E35">
      <w:pPr>
        <w:rPr>
          <w:rFonts w:cstheme="minorHAnsi"/>
          <w:sz w:val="24"/>
          <w:szCs w:val="24"/>
        </w:rPr>
      </w:pPr>
      <w:r>
        <w:rPr>
          <w:rFonts w:cstheme="minorHAnsi"/>
          <w:sz w:val="24"/>
          <w:szCs w:val="24"/>
        </w:rPr>
        <w:tab/>
      </w:r>
      <w:r w:rsidR="00816E35" w:rsidRPr="00816E35">
        <w:rPr>
          <w:rFonts w:cstheme="minorHAnsi"/>
          <w:sz w:val="24"/>
          <w:szCs w:val="24"/>
        </w:rPr>
        <w:t xml:space="preserve">d. </w:t>
      </w:r>
      <w:r w:rsidR="00437089">
        <w:rPr>
          <w:rFonts w:cstheme="minorHAnsi"/>
          <w:sz w:val="24"/>
          <w:szCs w:val="24"/>
        </w:rPr>
        <w:t>Subrecipient</w:t>
      </w:r>
      <w:r w:rsidR="00816E35" w:rsidRPr="008D579D">
        <w:rPr>
          <w:rFonts w:cstheme="minorHAnsi"/>
          <w:sz w:val="24"/>
          <w:szCs w:val="24"/>
        </w:rPr>
        <w:t xml:space="preserve"> shall use volunteers unless </w:t>
      </w:r>
      <w:r w:rsidR="00A2410C" w:rsidRPr="008D579D">
        <w:rPr>
          <w:rFonts w:cstheme="minorHAnsi"/>
          <w:sz w:val="24"/>
          <w:szCs w:val="24"/>
        </w:rPr>
        <w:t>the PSGAO</w:t>
      </w:r>
      <w:r w:rsidR="00816E35" w:rsidRPr="008D579D">
        <w:rPr>
          <w:rFonts w:cstheme="minorHAnsi"/>
          <w:sz w:val="24"/>
          <w:szCs w:val="24"/>
        </w:rPr>
        <w:t xml:space="preserve"> determines there is a compelling reason to waive this requirement. A “compelling reason” is defined by the VOCA Guidelines to be: “1) a statutory or contractual provision concerning liability or confidentiality of counselor/victim information, which bars the use of volunteers for certain positions; or 2) the inability to recruit and maintain volunteers after a sustained and aggressive recruitment effort.” Request for waivers shall be in writing to </w:t>
      </w:r>
      <w:r w:rsidR="00A2410C" w:rsidRPr="008D579D">
        <w:rPr>
          <w:rFonts w:cstheme="minorHAnsi"/>
          <w:sz w:val="24"/>
          <w:szCs w:val="24"/>
        </w:rPr>
        <w:t>PSGAO</w:t>
      </w:r>
      <w:r w:rsidR="00816E35" w:rsidRPr="008D579D">
        <w:rPr>
          <w:rFonts w:cstheme="minorHAnsi"/>
          <w:sz w:val="24"/>
          <w:szCs w:val="24"/>
        </w:rPr>
        <w:t xml:space="preserve"> and supported by appropriate documentation.</w:t>
      </w:r>
    </w:p>
    <w:p w:rsidR="005B7FC2" w:rsidRDefault="009F67A3" w:rsidP="00816E35">
      <w:pPr>
        <w:rPr>
          <w:rFonts w:cstheme="minorHAnsi"/>
          <w:sz w:val="24"/>
          <w:szCs w:val="24"/>
        </w:rPr>
      </w:pPr>
      <w:r>
        <w:rPr>
          <w:rFonts w:cstheme="minorHAnsi"/>
          <w:sz w:val="24"/>
          <w:szCs w:val="24"/>
        </w:rPr>
        <w:tab/>
      </w:r>
      <w:r w:rsidR="00816E35" w:rsidRPr="00816E35">
        <w:rPr>
          <w:rFonts w:cstheme="minorHAnsi"/>
          <w:sz w:val="24"/>
          <w:szCs w:val="24"/>
        </w:rPr>
        <w:t xml:space="preserve">e. </w:t>
      </w:r>
      <w:r w:rsidR="00437089">
        <w:rPr>
          <w:rFonts w:cstheme="minorHAnsi"/>
          <w:sz w:val="24"/>
          <w:szCs w:val="24"/>
        </w:rPr>
        <w:t>Subrecipient</w:t>
      </w:r>
      <w:r w:rsidR="00816E35" w:rsidRPr="00816E35">
        <w:rPr>
          <w:rFonts w:cstheme="minorHAnsi"/>
          <w:sz w:val="24"/>
          <w:szCs w:val="24"/>
        </w:rPr>
        <w:t xml:space="preserve"> shall assist victims in applying for victim compensation benefits.</w:t>
      </w:r>
      <w:r w:rsidR="00816E35">
        <w:rPr>
          <w:rFonts w:cstheme="minorHAnsi"/>
          <w:sz w:val="24"/>
          <w:szCs w:val="24"/>
        </w:rPr>
        <w:t xml:space="preserve"> </w:t>
      </w:r>
      <w:r w:rsidR="005B7FC2" w:rsidRPr="005B7FC2">
        <w:rPr>
          <w:rFonts w:cstheme="minorHAnsi"/>
          <w:sz w:val="24"/>
          <w:szCs w:val="24"/>
        </w:rPr>
        <w:t>Such assistance may include identifying and notifying crime victims of the availability of compensation, assisting them with application forms and procedures, obtaining necessary documentation, and/or checking on claim status.</w:t>
      </w:r>
    </w:p>
    <w:p w:rsidR="00816E35" w:rsidRPr="00816E35" w:rsidRDefault="009F67A3" w:rsidP="00816E35">
      <w:pPr>
        <w:rPr>
          <w:rFonts w:cstheme="minorHAnsi"/>
          <w:sz w:val="24"/>
          <w:szCs w:val="24"/>
        </w:rPr>
      </w:pPr>
      <w:r>
        <w:rPr>
          <w:rFonts w:cstheme="minorHAnsi"/>
          <w:sz w:val="24"/>
          <w:szCs w:val="24"/>
        </w:rPr>
        <w:tab/>
      </w:r>
      <w:r w:rsidR="00816E35" w:rsidRPr="00816E35">
        <w:rPr>
          <w:rFonts w:cstheme="minorHAnsi"/>
          <w:sz w:val="24"/>
          <w:szCs w:val="24"/>
        </w:rPr>
        <w:t xml:space="preserve">f. </w:t>
      </w:r>
      <w:r w:rsidR="00437089">
        <w:rPr>
          <w:rFonts w:cstheme="minorHAnsi"/>
          <w:sz w:val="24"/>
          <w:szCs w:val="24"/>
        </w:rPr>
        <w:t>Subrecipient</w:t>
      </w:r>
      <w:r w:rsidR="00816E35" w:rsidRPr="00816E35">
        <w:rPr>
          <w:rFonts w:cstheme="minorHAnsi"/>
          <w:sz w:val="24"/>
          <w:szCs w:val="24"/>
        </w:rPr>
        <w:t xml:space="preserve"> shall comply with the applicable provisions of VOCA, the</w:t>
      </w:r>
      <w:r w:rsidR="00816E35">
        <w:rPr>
          <w:rFonts w:cstheme="minorHAnsi"/>
          <w:sz w:val="24"/>
          <w:szCs w:val="24"/>
        </w:rPr>
        <w:t xml:space="preserve"> </w:t>
      </w:r>
      <w:r w:rsidR="00816E35" w:rsidRPr="00816E35">
        <w:rPr>
          <w:rFonts w:cstheme="minorHAnsi"/>
          <w:sz w:val="24"/>
          <w:szCs w:val="24"/>
        </w:rPr>
        <w:t>applicable Program Guidelines and Rules, and the requirements of the</w:t>
      </w:r>
      <w:r w:rsidR="00816E35">
        <w:rPr>
          <w:rFonts w:cstheme="minorHAnsi"/>
          <w:sz w:val="24"/>
          <w:szCs w:val="24"/>
        </w:rPr>
        <w:t xml:space="preserve"> </w:t>
      </w:r>
      <w:r w:rsidR="00816E35" w:rsidRPr="00816E35">
        <w:rPr>
          <w:rFonts w:cstheme="minorHAnsi"/>
          <w:sz w:val="24"/>
          <w:szCs w:val="24"/>
        </w:rPr>
        <w:t>most current edition of the Department of Justice Grants Financial Guide,</w:t>
      </w:r>
      <w:r w:rsidR="00816E35">
        <w:rPr>
          <w:rFonts w:cstheme="minorHAnsi"/>
          <w:sz w:val="24"/>
          <w:szCs w:val="24"/>
        </w:rPr>
        <w:t xml:space="preserve"> </w:t>
      </w:r>
      <w:r w:rsidR="00816E35" w:rsidRPr="00816E35">
        <w:rPr>
          <w:rFonts w:cstheme="minorHAnsi"/>
          <w:sz w:val="24"/>
          <w:szCs w:val="24"/>
        </w:rPr>
        <w:t>which includes maintaining appropriate programmatic and financial</w:t>
      </w:r>
      <w:r w:rsidR="00816E35">
        <w:rPr>
          <w:rFonts w:cstheme="minorHAnsi"/>
          <w:sz w:val="24"/>
          <w:szCs w:val="24"/>
        </w:rPr>
        <w:t xml:space="preserve"> </w:t>
      </w:r>
      <w:r w:rsidR="00816E35" w:rsidRPr="00816E35">
        <w:rPr>
          <w:rFonts w:cstheme="minorHAnsi"/>
          <w:sz w:val="24"/>
          <w:szCs w:val="24"/>
        </w:rPr>
        <w:t>records that fully disclose the amount and disposition of the VOCA funds</w:t>
      </w:r>
      <w:r w:rsidR="00816E35">
        <w:rPr>
          <w:rFonts w:cstheme="minorHAnsi"/>
          <w:sz w:val="24"/>
          <w:szCs w:val="24"/>
        </w:rPr>
        <w:t xml:space="preserve"> </w:t>
      </w:r>
      <w:r w:rsidR="00816E35" w:rsidRPr="00816E35">
        <w:rPr>
          <w:rFonts w:cstheme="minorHAnsi"/>
          <w:sz w:val="24"/>
          <w:szCs w:val="24"/>
        </w:rPr>
        <w:t xml:space="preserve">received. In addition, the </w:t>
      </w:r>
      <w:r w:rsidR="00437089">
        <w:rPr>
          <w:rFonts w:cstheme="minorHAnsi"/>
          <w:sz w:val="24"/>
          <w:szCs w:val="24"/>
        </w:rPr>
        <w:t>Subrecipient</w:t>
      </w:r>
      <w:r w:rsidR="00816E35" w:rsidRPr="00816E35">
        <w:rPr>
          <w:rFonts w:cstheme="minorHAnsi"/>
          <w:sz w:val="24"/>
          <w:szCs w:val="24"/>
        </w:rPr>
        <w:t xml:space="preserve"> shall develop and maintain fiscal,</w:t>
      </w:r>
      <w:r w:rsidR="00816E35">
        <w:rPr>
          <w:rFonts w:cstheme="minorHAnsi"/>
          <w:sz w:val="24"/>
          <w:szCs w:val="24"/>
        </w:rPr>
        <w:t xml:space="preserve"> </w:t>
      </w:r>
      <w:r w:rsidR="00816E35" w:rsidRPr="00816E35">
        <w:rPr>
          <w:rFonts w:cstheme="minorHAnsi"/>
          <w:sz w:val="24"/>
          <w:szCs w:val="24"/>
        </w:rPr>
        <w:t>statistical, and administrative records pertaining to the services as</w:t>
      </w:r>
      <w:r w:rsidR="00816E35">
        <w:rPr>
          <w:rFonts w:cstheme="minorHAnsi"/>
          <w:sz w:val="24"/>
          <w:szCs w:val="24"/>
        </w:rPr>
        <w:t xml:space="preserve"> </w:t>
      </w:r>
      <w:r w:rsidR="00816E35" w:rsidRPr="00816E35">
        <w:rPr>
          <w:rFonts w:cstheme="minorHAnsi"/>
          <w:sz w:val="24"/>
          <w:szCs w:val="24"/>
        </w:rPr>
        <w:t>specified by the Department</w:t>
      </w:r>
      <w:r w:rsidR="00EB0084">
        <w:rPr>
          <w:rFonts w:cstheme="minorHAnsi"/>
          <w:sz w:val="24"/>
          <w:szCs w:val="24"/>
        </w:rPr>
        <w:t xml:space="preserve"> of Justice</w:t>
      </w:r>
    </w:p>
    <w:p w:rsidR="00816E35" w:rsidRPr="00816E35" w:rsidRDefault="009F67A3" w:rsidP="00816E35">
      <w:pPr>
        <w:rPr>
          <w:rFonts w:cstheme="minorHAnsi"/>
          <w:sz w:val="24"/>
          <w:szCs w:val="24"/>
        </w:rPr>
      </w:pPr>
      <w:r>
        <w:rPr>
          <w:rFonts w:cstheme="minorHAnsi"/>
          <w:sz w:val="24"/>
          <w:szCs w:val="24"/>
        </w:rPr>
        <w:tab/>
      </w:r>
      <w:r w:rsidR="00816E35" w:rsidRPr="00816E35">
        <w:rPr>
          <w:rFonts w:cstheme="minorHAnsi"/>
          <w:sz w:val="24"/>
          <w:szCs w:val="24"/>
        </w:rPr>
        <w:t xml:space="preserve">g. </w:t>
      </w:r>
      <w:r w:rsidR="00437089">
        <w:rPr>
          <w:rFonts w:cstheme="minorHAnsi"/>
          <w:sz w:val="24"/>
          <w:szCs w:val="24"/>
        </w:rPr>
        <w:t>Subrecipient</w:t>
      </w:r>
      <w:r w:rsidR="00816E35" w:rsidRPr="00816E35">
        <w:rPr>
          <w:rFonts w:cstheme="minorHAnsi"/>
          <w:sz w:val="24"/>
          <w:szCs w:val="24"/>
        </w:rPr>
        <w:t xml:space="preserve"> shall comply with the non-discrimination laws and shall, within</w:t>
      </w:r>
      <w:r w:rsidR="00816E35">
        <w:rPr>
          <w:rFonts w:cstheme="minorHAnsi"/>
          <w:sz w:val="24"/>
          <w:szCs w:val="24"/>
        </w:rPr>
        <w:t xml:space="preserve"> </w:t>
      </w:r>
      <w:r w:rsidR="00816E35" w:rsidRPr="00816E35">
        <w:rPr>
          <w:rFonts w:cstheme="minorHAnsi"/>
          <w:sz w:val="24"/>
          <w:szCs w:val="24"/>
        </w:rPr>
        <w:t xml:space="preserve">the timetable established by </w:t>
      </w:r>
      <w:r w:rsidR="00A2410C">
        <w:rPr>
          <w:rFonts w:cstheme="minorHAnsi"/>
          <w:sz w:val="24"/>
          <w:szCs w:val="24"/>
        </w:rPr>
        <w:t>the PSGAO</w:t>
      </w:r>
      <w:r w:rsidR="00816E35" w:rsidRPr="00816E35">
        <w:rPr>
          <w:rFonts w:cstheme="minorHAnsi"/>
          <w:sz w:val="24"/>
          <w:szCs w:val="24"/>
        </w:rPr>
        <w:t>, maintain statutorily required civil</w:t>
      </w:r>
      <w:r w:rsidR="00816E35">
        <w:rPr>
          <w:rFonts w:cstheme="minorHAnsi"/>
          <w:sz w:val="24"/>
          <w:szCs w:val="24"/>
        </w:rPr>
        <w:t xml:space="preserve"> </w:t>
      </w:r>
      <w:r w:rsidR="00816E35" w:rsidRPr="00816E35">
        <w:rPr>
          <w:rFonts w:cstheme="minorHAnsi"/>
          <w:sz w:val="24"/>
          <w:szCs w:val="24"/>
        </w:rPr>
        <w:t>rights statistics on victims served by race, national origin, sex, age, and</w:t>
      </w:r>
      <w:r w:rsidR="00816E35">
        <w:rPr>
          <w:rFonts w:cstheme="minorHAnsi"/>
          <w:sz w:val="24"/>
          <w:szCs w:val="24"/>
        </w:rPr>
        <w:t xml:space="preserve"> </w:t>
      </w:r>
      <w:r w:rsidR="00816E35" w:rsidRPr="00816E35">
        <w:rPr>
          <w:rFonts w:cstheme="minorHAnsi"/>
          <w:sz w:val="24"/>
          <w:szCs w:val="24"/>
        </w:rPr>
        <w:t xml:space="preserve">disability. In addition, the </w:t>
      </w:r>
      <w:r w:rsidR="00437089">
        <w:rPr>
          <w:rFonts w:cstheme="minorHAnsi"/>
          <w:sz w:val="24"/>
          <w:szCs w:val="24"/>
        </w:rPr>
        <w:t>Subrecipient</w:t>
      </w:r>
      <w:r w:rsidR="00816E35" w:rsidRPr="00816E35">
        <w:rPr>
          <w:rFonts w:cstheme="minorHAnsi"/>
          <w:sz w:val="24"/>
          <w:szCs w:val="24"/>
        </w:rPr>
        <w:t xml:space="preserve"> shall permit reasonable access to books,</w:t>
      </w:r>
      <w:r w:rsidR="00816E35">
        <w:rPr>
          <w:rFonts w:cstheme="minorHAnsi"/>
          <w:sz w:val="24"/>
          <w:szCs w:val="24"/>
        </w:rPr>
        <w:t xml:space="preserve"> </w:t>
      </w:r>
      <w:r w:rsidR="00816E35" w:rsidRPr="00816E35">
        <w:rPr>
          <w:rFonts w:cstheme="minorHAnsi"/>
          <w:sz w:val="24"/>
          <w:szCs w:val="24"/>
        </w:rPr>
        <w:t>documents, papers, and records to determine whether the applicant is</w:t>
      </w:r>
      <w:r w:rsidR="00816E35">
        <w:rPr>
          <w:rFonts w:cstheme="minorHAnsi"/>
          <w:sz w:val="24"/>
          <w:szCs w:val="24"/>
        </w:rPr>
        <w:t xml:space="preserve"> </w:t>
      </w:r>
      <w:r w:rsidR="00816E35" w:rsidRPr="00816E35">
        <w:rPr>
          <w:rFonts w:cstheme="minorHAnsi"/>
          <w:sz w:val="24"/>
          <w:szCs w:val="24"/>
        </w:rPr>
        <w:t>complying with applicable civil rights laws. This requirement is waived when providing a service where soliciting the information may be</w:t>
      </w:r>
      <w:r w:rsidR="00816E35">
        <w:rPr>
          <w:rFonts w:cstheme="minorHAnsi"/>
          <w:sz w:val="24"/>
          <w:szCs w:val="24"/>
        </w:rPr>
        <w:t xml:space="preserve"> </w:t>
      </w:r>
      <w:r w:rsidR="00816E35" w:rsidRPr="00816E35">
        <w:rPr>
          <w:rFonts w:cstheme="minorHAnsi"/>
          <w:sz w:val="24"/>
          <w:szCs w:val="24"/>
        </w:rPr>
        <w:t>inappropriate or offensive to the crime victim.</w:t>
      </w:r>
    </w:p>
    <w:p w:rsidR="00816E35" w:rsidRPr="00816E35" w:rsidRDefault="009F67A3" w:rsidP="00816E35">
      <w:pPr>
        <w:rPr>
          <w:rFonts w:cstheme="minorHAnsi"/>
          <w:sz w:val="24"/>
          <w:szCs w:val="24"/>
        </w:rPr>
      </w:pPr>
      <w:r>
        <w:rPr>
          <w:rFonts w:cstheme="minorHAnsi"/>
          <w:sz w:val="24"/>
          <w:szCs w:val="24"/>
        </w:rPr>
        <w:tab/>
      </w:r>
      <w:r w:rsidR="00816E35" w:rsidRPr="00816E35">
        <w:rPr>
          <w:rFonts w:cstheme="minorHAnsi"/>
          <w:sz w:val="24"/>
          <w:szCs w:val="24"/>
        </w:rPr>
        <w:t xml:space="preserve">h. </w:t>
      </w:r>
      <w:r w:rsidR="00437089">
        <w:rPr>
          <w:rFonts w:cstheme="minorHAnsi"/>
          <w:sz w:val="24"/>
          <w:szCs w:val="24"/>
        </w:rPr>
        <w:t>Subrecipient</w:t>
      </w:r>
      <w:r w:rsidR="00816E35" w:rsidRPr="00816E35">
        <w:rPr>
          <w:rFonts w:cstheme="minorHAnsi"/>
          <w:sz w:val="24"/>
          <w:szCs w:val="24"/>
        </w:rPr>
        <w:t xml:space="preserve"> shall provide services to victims of federal crimes on the same</w:t>
      </w:r>
      <w:r w:rsidR="00816E35">
        <w:rPr>
          <w:rFonts w:cstheme="minorHAnsi"/>
          <w:sz w:val="24"/>
          <w:szCs w:val="24"/>
        </w:rPr>
        <w:t xml:space="preserve"> </w:t>
      </w:r>
      <w:r w:rsidR="00816E35" w:rsidRPr="00816E35">
        <w:rPr>
          <w:rFonts w:cstheme="minorHAnsi"/>
          <w:sz w:val="24"/>
          <w:szCs w:val="24"/>
        </w:rPr>
        <w:t>basis as victims of state/local crimes.</w:t>
      </w:r>
    </w:p>
    <w:p w:rsidR="00816E35" w:rsidRPr="00816E35" w:rsidRDefault="009F67A3" w:rsidP="00816E35">
      <w:pPr>
        <w:rPr>
          <w:rFonts w:cstheme="minorHAnsi"/>
          <w:sz w:val="24"/>
          <w:szCs w:val="24"/>
        </w:rPr>
      </w:pPr>
      <w:r>
        <w:rPr>
          <w:rFonts w:cstheme="minorHAnsi"/>
          <w:sz w:val="24"/>
          <w:szCs w:val="24"/>
        </w:rPr>
        <w:tab/>
      </w:r>
      <w:proofErr w:type="spellStart"/>
      <w:r w:rsidR="00816E35" w:rsidRPr="00816E35">
        <w:rPr>
          <w:rFonts w:cstheme="minorHAnsi"/>
          <w:sz w:val="24"/>
          <w:szCs w:val="24"/>
        </w:rPr>
        <w:t>i</w:t>
      </w:r>
      <w:proofErr w:type="spellEnd"/>
      <w:r w:rsidR="00816E35" w:rsidRPr="00816E35">
        <w:rPr>
          <w:rFonts w:cstheme="minorHAnsi"/>
          <w:sz w:val="24"/>
          <w:szCs w:val="24"/>
        </w:rPr>
        <w:t xml:space="preserve">. </w:t>
      </w:r>
      <w:r w:rsidR="00437089">
        <w:rPr>
          <w:rFonts w:cstheme="minorHAnsi"/>
          <w:sz w:val="24"/>
          <w:szCs w:val="24"/>
        </w:rPr>
        <w:t>Subrecipient</w:t>
      </w:r>
      <w:r w:rsidR="00816E35" w:rsidRPr="00816E35">
        <w:rPr>
          <w:rFonts w:cstheme="minorHAnsi"/>
          <w:sz w:val="24"/>
          <w:szCs w:val="24"/>
        </w:rPr>
        <w:t xml:space="preserve"> shall provide services to crime victims at no charge through the</w:t>
      </w:r>
      <w:r w:rsidR="00816E35">
        <w:rPr>
          <w:rFonts w:cstheme="minorHAnsi"/>
          <w:sz w:val="24"/>
          <w:szCs w:val="24"/>
        </w:rPr>
        <w:t xml:space="preserve"> </w:t>
      </w:r>
      <w:r w:rsidR="00816E35" w:rsidRPr="00816E35">
        <w:rPr>
          <w:rFonts w:cstheme="minorHAnsi"/>
          <w:sz w:val="24"/>
          <w:szCs w:val="24"/>
        </w:rPr>
        <w:t>VOCA-funded project. Any deviation from this provision requires prior</w:t>
      </w:r>
      <w:r w:rsidR="00816E35">
        <w:rPr>
          <w:rFonts w:cstheme="minorHAnsi"/>
          <w:sz w:val="24"/>
          <w:szCs w:val="24"/>
        </w:rPr>
        <w:t xml:space="preserve"> </w:t>
      </w:r>
      <w:r w:rsidR="00816E35" w:rsidRPr="00816E35">
        <w:rPr>
          <w:rFonts w:cstheme="minorHAnsi"/>
          <w:sz w:val="24"/>
          <w:szCs w:val="24"/>
        </w:rPr>
        <w:t>approval from the Department</w:t>
      </w:r>
      <w:r w:rsidR="00EB0084">
        <w:rPr>
          <w:rFonts w:cstheme="minorHAnsi"/>
          <w:sz w:val="24"/>
          <w:szCs w:val="24"/>
        </w:rPr>
        <w:t xml:space="preserve"> of Justice</w:t>
      </w:r>
      <w:r w:rsidR="00816E35" w:rsidRPr="00816E35">
        <w:rPr>
          <w:rFonts w:cstheme="minorHAnsi"/>
          <w:sz w:val="24"/>
          <w:szCs w:val="24"/>
        </w:rPr>
        <w:t>.</w:t>
      </w:r>
    </w:p>
    <w:p w:rsidR="00816E35" w:rsidRPr="00816E35" w:rsidRDefault="009F67A3" w:rsidP="00816E35">
      <w:pPr>
        <w:rPr>
          <w:rFonts w:cstheme="minorHAnsi"/>
          <w:sz w:val="24"/>
          <w:szCs w:val="24"/>
        </w:rPr>
      </w:pPr>
      <w:r>
        <w:rPr>
          <w:rFonts w:cstheme="minorHAnsi"/>
          <w:sz w:val="24"/>
          <w:szCs w:val="24"/>
        </w:rPr>
        <w:tab/>
      </w:r>
      <w:r w:rsidR="00816E35" w:rsidRPr="00816E35">
        <w:rPr>
          <w:rFonts w:cstheme="minorHAnsi"/>
          <w:sz w:val="24"/>
          <w:szCs w:val="24"/>
        </w:rPr>
        <w:t xml:space="preserve">j. </w:t>
      </w:r>
      <w:r w:rsidR="00437089">
        <w:rPr>
          <w:rFonts w:cstheme="minorHAnsi"/>
          <w:sz w:val="24"/>
          <w:szCs w:val="24"/>
        </w:rPr>
        <w:t>Subrecipient</w:t>
      </w:r>
      <w:r w:rsidR="00816E35" w:rsidRPr="00816E35">
        <w:rPr>
          <w:rFonts w:cstheme="minorHAnsi"/>
          <w:sz w:val="24"/>
          <w:szCs w:val="24"/>
        </w:rPr>
        <w:t xml:space="preserve"> shall provide services to crime victims regardless of the victims’</w:t>
      </w:r>
      <w:r w:rsidR="00816E35">
        <w:rPr>
          <w:rFonts w:cstheme="minorHAnsi"/>
          <w:sz w:val="24"/>
          <w:szCs w:val="24"/>
        </w:rPr>
        <w:t xml:space="preserve"> </w:t>
      </w:r>
      <w:r w:rsidR="00816E35" w:rsidRPr="00816E35">
        <w:rPr>
          <w:rFonts w:cstheme="minorHAnsi"/>
          <w:sz w:val="24"/>
          <w:szCs w:val="24"/>
        </w:rPr>
        <w:t>participation in the criminal justice process.</w:t>
      </w:r>
    </w:p>
    <w:p w:rsidR="00816E35" w:rsidRPr="00816E35" w:rsidRDefault="009F67A3" w:rsidP="00816E35">
      <w:pPr>
        <w:rPr>
          <w:rFonts w:cstheme="minorHAnsi"/>
          <w:sz w:val="24"/>
          <w:szCs w:val="24"/>
        </w:rPr>
      </w:pPr>
      <w:r>
        <w:rPr>
          <w:rFonts w:cstheme="minorHAnsi"/>
          <w:sz w:val="24"/>
          <w:szCs w:val="24"/>
        </w:rPr>
        <w:lastRenderedPageBreak/>
        <w:tab/>
      </w:r>
      <w:r w:rsidR="00816E35" w:rsidRPr="00816E35">
        <w:rPr>
          <w:rFonts w:cstheme="minorHAnsi"/>
          <w:sz w:val="24"/>
          <w:szCs w:val="24"/>
        </w:rPr>
        <w:t xml:space="preserve">k. </w:t>
      </w:r>
      <w:r w:rsidR="00437089">
        <w:rPr>
          <w:rFonts w:cstheme="minorHAnsi"/>
          <w:sz w:val="24"/>
          <w:szCs w:val="24"/>
        </w:rPr>
        <w:t>Subrecipient</w:t>
      </w:r>
      <w:r w:rsidR="00816E35" w:rsidRPr="00816E35">
        <w:rPr>
          <w:rFonts w:cstheme="minorHAnsi"/>
          <w:sz w:val="24"/>
          <w:szCs w:val="24"/>
        </w:rPr>
        <w:t xml:space="preserve"> shall maintain the confidentiality of client-counselor information</w:t>
      </w:r>
      <w:r w:rsidR="00816E35">
        <w:rPr>
          <w:rFonts w:cstheme="minorHAnsi"/>
          <w:sz w:val="24"/>
          <w:szCs w:val="24"/>
        </w:rPr>
        <w:t xml:space="preserve"> </w:t>
      </w:r>
      <w:r w:rsidR="00816E35" w:rsidRPr="00816E35">
        <w:rPr>
          <w:rFonts w:cstheme="minorHAnsi"/>
          <w:sz w:val="24"/>
          <w:szCs w:val="24"/>
        </w:rPr>
        <w:t>as required by state and federal law.</w:t>
      </w:r>
    </w:p>
    <w:p w:rsidR="00816E35" w:rsidRPr="00816E35" w:rsidRDefault="009F67A3" w:rsidP="00816E35">
      <w:pPr>
        <w:rPr>
          <w:rFonts w:cstheme="minorHAnsi"/>
          <w:sz w:val="24"/>
          <w:szCs w:val="24"/>
        </w:rPr>
      </w:pPr>
      <w:r>
        <w:rPr>
          <w:rFonts w:cstheme="minorHAnsi"/>
          <w:sz w:val="24"/>
          <w:szCs w:val="24"/>
        </w:rPr>
        <w:tab/>
      </w:r>
      <w:r w:rsidR="00816E35" w:rsidRPr="00816E35">
        <w:rPr>
          <w:rFonts w:cstheme="minorHAnsi"/>
          <w:sz w:val="24"/>
          <w:szCs w:val="24"/>
        </w:rPr>
        <w:t xml:space="preserve">l. </w:t>
      </w:r>
      <w:r w:rsidR="00437089">
        <w:rPr>
          <w:rFonts w:cstheme="minorHAnsi"/>
          <w:sz w:val="24"/>
          <w:szCs w:val="24"/>
        </w:rPr>
        <w:t>Subrecipient</w:t>
      </w:r>
      <w:r w:rsidR="00816E35" w:rsidRPr="00816E35">
        <w:rPr>
          <w:rFonts w:cstheme="minorHAnsi"/>
          <w:sz w:val="24"/>
          <w:szCs w:val="24"/>
        </w:rPr>
        <w:t xml:space="preserve"> shall maintain the confidentiality of research information.</w:t>
      </w:r>
      <w:r w:rsidR="00816E35">
        <w:rPr>
          <w:rFonts w:cstheme="minorHAnsi"/>
          <w:sz w:val="24"/>
          <w:szCs w:val="24"/>
        </w:rPr>
        <w:t xml:space="preserve"> </w:t>
      </w:r>
      <w:r w:rsidR="00816E35" w:rsidRPr="00816E35">
        <w:rPr>
          <w:rFonts w:cstheme="minorHAnsi"/>
          <w:sz w:val="24"/>
          <w:szCs w:val="24"/>
        </w:rPr>
        <w:t>Recipients of VOCA monies shall not use or reveal any research or</w:t>
      </w:r>
      <w:r w:rsidR="00816E35">
        <w:rPr>
          <w:rFonts w:cstheme="minorHAnsi"/>
          <w:sz w:val="24"/>
          <w:szCs w:val="24"/>
        </w:rPr>
        <w:t xml:space="preserve"> </w:t>
      </w:r>
      <w:r w:rsidR="00816E35" w:rsidRPr="00816E35">
        <w:rPr>
          <w:rFonts w:cstheme="minorHAnsi"/>
          <w:sz w:val="24"/>
          <w:szCs w:val="24"/>
        </w:rPr>
        <w:t xml:space="preserve">statistical information furnished under VOCA by any </w:t>
      </w:r>
      <w:proofErr w:type="gramStart"/>
      <w:r w:rsidR="00816E35" w:rsidRPr="00816E35">
        <w:rPr>
          <w:rFonts w:cstheme="minorHAnsi"/>
          <w:sz w:val="24"/>
          <w:szCs w:val="24"/>
        </w:rPr>
        <w:t>person, and</w:t>
      </w:r>
      <w:proofErr w:type="gramEnd"/>
      <w:r w:rsidR="00816E35" w:rsidRPr="00816E35">
        <w:rPr>
          <w:rFonts w:cstheme="minorHAnsi"/>
          <w:sz w:val="24"/>
          <w:szCs w:val="24"/>
        </w:rPr>
        <w:t xml:space="preserve"> shall not</w:t>
      </w:r>
      <w:r w:rsidR="00816E35">
        <w:rPr>
          <w:rFonts w:cstheme="minorHAnsi"/>
          <w:sz w:val="24"/>
          <w:szCs w:val="24"/>
        </w:rPr>
        <w:t xml:space="preserve"> </w:t>
      </w:r>
      <w:r w:rsidR="00816E35" w:rsidRPr="00816E35">
        <w:rPr>
          <w:rFonts w:cstheme="minorHAnsi"/>
          <w:sz w:val="24"/>
          <w:szCs w:val="24"/>
        </w:rPr>
        <w:t>use or reveal any research or statistical information identifiable to any</w:t>
      </w:r>
      <w:r w:rsidR="00816E35">
        <w:rPr>
          <w:rFonts w:cstheme="minorHAnsi"/>
          <w:sz w:val="24"/>
          <w:szCs w:val="24"/>
        </w:rPr>
        <w:t xml:space="preserve"> </w:t>
      </w:r>
      <w:r w:rsidR="00816E35" w:rsidRPr="00816E35">
        <w:rPr>
          <w:rFonts w:cstheme="minorHAnsi"/>
          <w:sz w:val="24"/>
          <w:szCs w:val="24"/>
        </w:rPr>
        <w:t>specific private person for any purpose other than the purpose for which</w:t>
      </w:r>
      <w:r w:rsidR="00816E35">
        <w:rPr>
          <w:rFonts w:cstheme="minorHAnsi"/>
          <w:sz w:val="24"/>
          <w:szCs w:val="24"/>
        </w:rPr>
        <w:t xml:space="preserve"> </w:t>
      </w:r>
      <w:r w:rsidR="00816E35" w:rsidRPr="00816E35">
        <w:rPr>
          <w:rFonts w:cstheme="minorHAnsi"/>
          <w:sz w:val="24"/>
          <w:szCs w:val="24"/>
        </w:rPr>
        <w:t>information was obtained. It should be noted that there is nothing in</w:t>
      </w:r>
      <w:r w:rsidR="00816E35">
        <w:rPr>
          <w:rFonts w:cstheme="minorHAnsi"/>
          <w:sz w:val="24"/>
          <w:szCs w:val="24"/>
        </w:rPr>
        <w:t xml:space="preserve"> </w:t>
      </w:r>
      <w:r w:rsidR="00816E35" w:rsidRPr="00816E35">
        <w:rPr>
          <w:rFonts w:cstheme="minorHAnsi"/>
          <w:sz w:val="24"/>
          <w:szCs w:val="24"/>
        </w:rPr>
        <w:t>VOCA or its legislative history to indicate that Congress intended to</w:t>
      </w:r>
      <w:r w:rsidR="00816E35">
        <w:rPr>
          <w:rFonts w:cstheme="minorHAnsi"/>
          <w:sz w:val="24"/>
          <w:szCs w:val="24"/>
        </w:rPr>
        <w:t xml:space="preserve"> </w:t>
      </w:r>
      <w:r w:rsidR="00816E35" w:rsidRPr="00816E35">
        <w:rPr>
          <w:rFonts w:cstheme="minorHAnsi"/>
          <w:sz w:val="24"/>
          <w:szCs w:val="24"/>
        </w:rPr>
        <w:t>override or repeal, in effect, a state’s existing law governing the disclosure</w:t>
      </w:r>
      <w:r w:rsidR="00816E35">
        <w:rPr>
          <w:rFonts w:cstheme="minorHAnsi"/>
          <w:sz w:val="24"/>
          <w:szCs w:val="24"/>
        </w:rPr>
        <w:t xml:space="preserve"> </w:t>
      </w:r>
      <w:r w:rsidR="00816E35" w:rsidRPr="00816E35">
        <w:rPr>
          <w:rFonts w:cstheme="minorHAnsi"/>
          <w:sz w:val="24"/>
          <w:szCs w:val="24"/>
        </w:rPr>
        <w:t>of information which is supportive of VOCA’s fundamental goal of</w:t>
      </w:r>
      <w:r w:rsidR="00816E35">
        <w:rPr>
          <w:rFonts w:cstheme="minorHAnsi"/>
          <w:sz w:val="24"/>
          <w:szCs w:val="24"/>
        </w:rPr>
        <w:t xml:space="preserve"> </w:t>
      </w:r>
      <w:r w:rsidR="00816E35" w:rsidRPr="00816E35">
        <w:rPr>
          <w:rFonts w:cstheme="minorHAnsi"/>
          <w:sz w:val="24"/>
          <w:szCs w:val="24"/>
        </w:rPr>
        <w:t>helping crime victims. Further, this confidentiality provision should not</w:t>
      </w:r>
      <w:r w:rsidR="00816E35">
        <w:rPr>
          <w:rFonts w:cstheme="minorHAnsi"/>
          <w:sz w:val="24"/>
          <w:szCs w:val="24"/>
        </w:rPr>
        <w:t xml:space="preserve"> </w:t>
      </w:r>
      <w:r w:rsidR="00816E35" w:rsidRPr="00816E35">
        <w:rPr>
          <w:rFonts w:cstheme="minorHAnsi"/>
          <w:sz w:val="24"/>
          <w:szCs w:val="24"/>
        </w:rPr>
        <w:t>be interpreted to thwart the legitimate informational needs of public</w:t>
      </w:r>
      <w:r w:rsidR="00816E35">
        <w:rPr>
          <w:rFonts w:cstheme="minorHAnsi"/>
          <w:sz w:val="24"/>
          <w:szCs w:val="24"/>
        </w:rPr>
        <w:t xml:space="preserve"> </w:t>
      </w:r>
      <w:r w:rsidR="00816E35" w:rsidRPr="00816E35">
        <w:rPr>
          <w:rFonts w:cstheme="minorHAnsi"/>
          <w:sz w:val="24"/>
          <w:szCs w:val="24"/>
        </w:rPr>
        <w:t>agencies.</w:t>
      </w:r>
    </w:p>
    <w:p w:rsidR="004A3892" w:rsidRDefault="009F67A3" w:rsidP="00816E35">
      <w:pPr>
        <w:rPr>
          <w:rFonts w:cstheme="minorHAnsi"/>
          <w:sz w:val="24"/>
          <w:szCs w:val="24"/>
        </w:rPr>
      </w:pPr>
      <w:r>
        <w:rPr>
          <w:rFonts w:cstheme="minorHAnsi"/>
          <w:sz w:val="24"/>
          <w:szCs w:val="24"/>
        </w:rPr>
        <w:tab/>
      </w:r>
      <w:r w:rsidR="00816E35" w:rsidRPr="00816E35">
        <w:rPr>
          <w:rFonts w:cstheme="minorHAnsi"/>
          <w:sz w:val="24"/>
          <w:szCs w:val="24"/>
        </w:rPr>
        <w:t xml:space="preserve">m. </w:t>
      </w:r>
      <w:r w:rsidR="00437089">
        <w:rPr>
          <w:rFonts w:cstheme="minorHAnsi"/>
          <w:sz w:val="24"/>
          <w:szCs w:val="24"/>
        </w:rPr>
        <w:t>Subrecipient</w:t>
      </w:r>
      <w:r w:rsidR="00816E35" w:rsidRPr="00816E35">
        <w:rPr>
          <w:rFonts w:cstheme="minorHAnsi"/>
          <w:sz w:val="24"/>
          <w:szCs w:val="24"/>
        </w:rPr>
        <w:t xml:space="preserve"> shall abide by any additional eligibility or service criteria as</w:t>
      </w:r>
      <w:r w:rsidR="00816E35">
        <w:rPr>
          <w:rFonts w:cstheme="minorHAnsi"/>
          <w:sz w:val="24"/>
          <w:szCs w:val="24"/>
        </w:rPr>
        <w:t xml:space="preserve"> </w:t>
      </w:r>
      <w:r w:rsidR="00816E35" w:rsidRPr="00816E35">
        <w:rPr>
          <w:rFonts w:cstheme="minorHAnsi"/>
          <w:sz w:val="24"/>
          <w:szCs w:val="24"/>
        </w:rPr>
        <w:t xml:space="preserve">established by the </w:t>
      </w:r>
      <w:r w:rsidR="00C65F27">
        <w:rPr>
          <w:rFonts w:cstheme="minorHAnsi"/>
          <w:sz w:val="24"/>
          <w:szCs w:val="24"/>
        </w:rPr>
        <w:t>PSGAO</w:t>
      </w:r>
      <w:r w:rsidR="00816E35" w:rsidRPr="00816E35">
        <w:rPr>
          <w:rFonts w:cstheme="minorHAnsi"/>
          <w:sz w:val="24"/>
          <w:szCs w:val="24"/>
        </w:rPr>
        <w:t>.</w:t>
      </w:r>
      <w:r w:rsidR="00816E35">
        <w:rPr>
          <w:rFonts w:cstheme="minorHAnsi"/>
          <w:sz w:val="24"/>
          <w:szCs w:val="24"/>
        </w:rPr>
        <w:t xml:space="preserve"> </w:t>
      </w:r>
    </w:p>
    <w:p w:rsidR="007E7235" w:rsidRDefault="009F67A3" w:rsidP="00816E35">
      <w:pPr>
        <w:rPr>
          <w:rFonts w:cstheme="minorHAnsi"/>
          <w:sz w:val="24"/>
          <w:szCs w:val="24"/>
        </w:rPr>
      </w:pPr>
      <w:r>
        <w:rPr>
          <w:rFonts w:cstheme="minorHAnsi"/>
          <w:sz w:val="24"/>
          <w:szCs w:val="24"/>
        </w:rPr>
        <w:tab/>
      </w:r>
      <w:r w:rsidR="006E6EAE">
        <w:rPr>
          <w:rFonts w:cstheme="minorHAnsi"/>
          <w:sz w:val="24"/>
          <w:szCs w:val="24"/>
        </w:rPr>
        <w:t xml:space="preserve">n. </w:t>
      </w:r>
      <w:r w:rsidR="00816E35" w:rsidRPr="00816E35">
        <w:rPr>
          <w:rFonts w:cstheme="minorHAnsi"/>
          <w:sz w:val="24"/>
          <w:szCs w:val="24"/>
        </w:rPr>
        <w:t xml:space="preserve">As a requirement to receiving the VOCA funds, </w:t>
      </w:r>
      <w:r w:rsidR="00EB0084">
        <w:rPr>
          <w:rFonts w:cstheme="minorHAnsi"/>
          <w:sz w:val="24"/>
          <w:szCs w:val="24"/>
        </w:rPr>
        <w:t>s</w:t>
      </w:r>
      <w:r w:rsidR="00437089">
        <w:rPr>
          <w:rFonts w:cstheme="minorHAnsi"/>
          <w:sz w:val="24"/>
          <w:szCs w:val="24"/>
        </w:rPr>
        <w:t>ubrecipient</w:t>
      </w:r>
      <w:r w:rsidR="00816E35" w:rsidRPr="00816E35">
        <w:rPr>
          <w:rFonts w:cstheme="minorHAnsi"/>
          <w:sz w:val="24"/>
          <w:szCs w:val="24"/>
        </w:rPr>
        <w:t xml:space="preserve"> must be registered with the</w:t>
      </w:r>
      <w:r w:rsidR="00816E35">
        <w:rPr>
          <w:rFonts w:cstheme="minorHAnsi"/>
          <w:sz w:val="24"/>
          <w:szCs w:val="24"/>
        </w:rPr>
        <w:t xml:space="preserve"> </w:t>
      </w:r>
      <w:r w:rsidR="00816E35" w:rsidRPr="00816E35">
        <w:rPr>
          <w:rFonts w:cstheme="minorHAnsi"/>
          <w:sz w:val="24"/>
          <w:szCs w:val="24"/>
        </w:rPr>
        <w:t>System for Award Management (SAM) and maintain active status throughout the</w:t>
      </w:r>
      <w:r w:rsidR="00816E35">
        <w:rPr>
          <w:rFonts w:cstheme="minorHAnsi"/>
          <w:sz w:val="24"/>
          <w:szCs w:val="24"/>
        </w:rPr>
        <w:t xml:space="preserve"> </w:t>
      </w:r>
      <w:r w:rsidR="00816E35" w:rsidRPr="00816E35">
        <w:rPr>
          <w:rFonts w:cstheme="minorHAnsi"/>
          <w:sz w:val="24"/>
          <w:szCs w:val="24"/>
        </w:rPr>
        <w:t xml:space="preserve">duration of the project period. </w:t>
      </w:r>
      <w:r w:rsidR="00437089">
        <w:rPr>
          <w:rFonts w:cstheme="minorHAnsi"/>
          <w:sz w:val="24"/>
          <w:szCs w:val="24"/>
        </w:rPr>
        <w:t>Subrecipient</w:t>
      </w:r>
      <w:r w:rsidR="00816E35" w:rsidRPr="00816E35">
        <w:rPr>
          <w:rFonts w:cstheme="minorHAnsi"/>
          <w:sz w:val="24"/>
          <w:szCs w:val="24"/>
        </w:rPr>
        <w:t xml:space="preserve"> must also have a valid Data Universal Numbering</w:t>
      </w:r>
      <w:r w:rsidR="00816E35">
        <w:rPr>
          <w:rFonts w:cstheme="minorHAnsi"/>
          <w:sz w:val="24"/>
          <w:szCs w:val="24"/>
        </w:rPr>
        <w:t xml:space="preserve"> </w:t>
      </w:r>
      <w:r w:rsidR="00816E35" w:rsidRPr="00816E35">
        <w:rPr>
          <w:rFonts w:cstheme="minorHAnsi"/>
          <w:sz w:val="24"/>
          <w:szCs w:val="24"/>
        </w:rPr>
        <w:t xml:space="preserve">System (DUNS) number. </w:t>
      </w:r>
    </w:p>
    <w:p w:rsidR="006015DF" w:rsidRDefault="009F67A3" w:rsidP="00816E35">
      <w:pPr>
        <w:rPr>
          <w:rFonts w:cstheme="minorHAnsi"/>
          <w:sz w:val="24"/>
          <w:szCs w:val="24"/>
        </w:rPr>
      </w:pPr>
      <w:r>
        <w:rPr>
          <w:rFonts w:cstheme="minorHAnsi"/>
          <w:sz w:val="24"/>
          <w:szCs w:val="24"/>
        </w:rPr>
        <w:tab/>
      </w:r>
      <w:r w:rsidR="005B7FC2">
        <w:rPr>
          <w:rFonts w:cstheme="minorHAnsi"/>
          <w:sz w:val="24"/>
          <w:szCs w:val="24"/>
        </w:rPr>
        <w:t xml:space="preserve">o. </w:t>
      </w:r>
      <w:r w:rsidR="004A3892">
        <w:rPr>
          <w:rFonts w:cstheme="minorHAnsi"/>
          <w:sz w:val="24"/>
          <w:szCs w:val="24"/>
        </w:rPr>
        <w:t>Sub</w:t>
      </w:r>
      <w:r w:rsidR="00437089">
        <w:rPr>
          <w:rFonts w:cstheme="minorHAnsi"/>
          <w:sz w:val="24"/>
          <w:szCs w:val="24"/>
        </w:rPr>
        <w:t>recipient</w:t>
      </w:r>
      <w:r w:rsidR="004A3892">
        <w:rPr>
          <w:rFonts w:cstheme="minorHAnsi"/>
          <w:sz w:val="24"/>
          <w:szCs w:val="24"/>
        </w:rPr>
        <w:t xml:space="preserve"> shall p</w:t>
      </w:r>
      <w:r w:rsidR="005B7FC2" w:rsidRPr="005B7FC2">
        <w:rPr>
          <w:rFonts w:cstheme="minorHAnsi"/>
          <w:sz w:val="24"/>
          <w:szCs w:val="24"/>
        </w:rPr>
        <w:t xml:space="preserve">romote Community Efforts to Aid Crime Victims. Promote, within the community, coordinated public and private efforts to aid crime victims. Coordination may include, but is not limited to, serving on state, federal, local, or Native American task forces, commissions, working groups, coalitions, and/or multi-disciplinary teams. Coordination efforts also include developing written agreements that contribute to better and more comprehensive services to crime victims. Coordination efforts qualify an organization to receive VOCA victim assistance </w:t>
      </w:r>
      <w:r w:rsidR="005F7F18" w:rsidRPr="005B7FC2">
        <w:rPr>
          <w:rFonts w:cstheme="minorHAnsi"/>
          <w:sz w:val="24"/>
          <w:szCs w:val="24"/>
        </w:rPr>
        <w:t>funds but</w:t>
      </w:r>
      <w:r w:rsidR="005B7FC2" w:rsidRPr="005B7FC2">
        <w:rPr>
          <w:rFonts w:cstheme="minorHAnsi"/>
          <w:sz w:val="24"/>
          <w:szCs w:val="24"/>
        </w:rPr>
        <w:t xml:space="preserve"> are not activities that can be supported with VOCA funds.</w:t>
      </w:r>
    </w:p>
    <w:p w:rsidR="009E7EC3" w:rsidRDefault="009E7EC3" w:rsidP="00547520">
      <w:pPr>
        <w:pStyle w:val="Heading2"/>
      </w:pPr>
    </w:p>
    <w:p w:rsidR="006015DF" w:rsidRDefault="006015DF" w:rsidP="00547520">
      <w:pPr>
        <w:pStyle w:val="Heading2"/>
      </w:pPr>
      <w:bookmarkStart w:id="8" w:name="_Toc8299887"/>
      <w:r>
        <w:t>New Applicants</w:t>
      </w:r>
      <w:bookmarkEnd w:id="8"/>
      <w:r>
        <w:t xml:space="preserve"> </w:t>
      </w:r>
    </w:p>
    <w:p w:rsidR="00547520" w:rsidRDefault="00547520" w:rsidP="00547520">
      <w:pPr>
        <w:rPr>
          <w:sz w:val="24"/>
          <w:szCs w:val="24"/>
        </w:rPr>
      </w:pPr>
      <w:r>
        <w:tab/>
      </w:r>
      <w:r w:rsidRPr="008F38CC">
        <w:rPr>
          <w:sz w:val="24"/>
          <w:szCs w:val="24"/>
        </w:rPr>
        <w:t>Those programs that have not yet demonstrated a record of providing services may be eligible to receive VOCA funding, if they can demonstrate that 25-50 percent of their financial support comes from non-federal sources. It is important that organizations have a variety of funding sources besides federal funding to ensure their financial stability. The VOCA Advisory Committee will establish the base level of nonfederal support required within the 25-50 percent range for new programs.</w:t>
      </w:r>
    </w:p>
    <w:p w:rsidR="00F9409A" w:rsidRPr="008F38CC" w:rsidRDefault="00F9409A" w:rsidP="00547520">
      <w:pPr>
        <w:rPr>
          <w:sz w:val="24"/>
          <w:szCs w:val="24"/>
        </w:rPr>
      </w:pPr>
      <w:r>
        <w:rPr>
          <w:sz w:val="24"/>
          <w:szCs w:val="24"/>
        </w:rPr>
        <w:tab/>
        <w:t>New applicants are encouraged to include fiscal policies, their most recent annual report, confidentiality policies, non-discrimination policies, and any other information that may assist the VOCA Advisory Committee in evaluating their organization.</w:t>
      </w:r>
    </w:p>
    <w:p w:rsidR="00AB389A" w:rsidRDefault="00AB389A" w:rsidP="00FB148A">
      <w:pPr>
        <w:pStyle w:val="Heading1"/>
      </w:pPr>
    </w:p>
    <w:p w:rsidR="00660F50" w:rsidRPr="00D92174" w:rsidRDefault="00660F50" w:rsidP="004A3892">
      <w:pPr>
        <w:pStyle w:val="Heading1"/>
        <w:jc w:val="center"/>
      </w:pPr>
      <w:bookmarkStart w:id="9" w:name="_Toc8299888"/>
      <w:r w:rsidRPr="00D92174">
        <w:t>FISCAL CONDITIONS</w:t>
      </w:r>
      <w:bookmarkEnd w:id="9"/>
    </w:p>
    <w:p w:rsidR="006E6EAE" w:rsidRDefault="00660F50" w:rsidP="00660F50">
      <w:pPr>
        <w:rPr>
          <w:rFonts w:cstheme="minorHAnsi"/>
          <w:sz w:val="24"/>
          <w:szCs w:val="24"/>
        </w:rPr>
      </w:pPr>
      <w:r w:rsidRPr="00660F50">
        <w:rPr>
          <w:rFonts w:cstheme="minorHAnsi"/>
          <w:sz w:val="24"/>
          <w:szCs w:val="24"/>
        </w:rPr>
        <w:t xml:space="preserve"> </w:t>
      </w:r>
      <w:r w:rsidR="00E278CD">
        <w:rPr>
          <w:rFonts w:cstheme="minorHAnsi"/>
          <w:sz w:val="24"/>
          <w:szCs w:val="24"/>
        </w:rPr>
        <w:tab/>
      </w:r>
      <w:r w:rsidR="000C0F6C">
        <w:rPr>
          <w:rFonts w:cstheme="minorHAnsi"/>
          <w:sz w:val="24"/>
          <w:szCs w:val="24"/>
        </w:rPr>
        <w:t>Subrecipient</w:t>
      </w:r>
      <w:r w:rsidRPr="00660F50">
        <w:rPr>
          <w:rFonts w:cstheme="minorHAnsi"/>
          <w:sz w:val="24"/>
          <w:szCs w:val="24"/>
        </w:rPr>
        <w:t xml:space="preserve"> shall comply with the financial and administrative requirements set forth in </w:t>
      </w:r>
      <w:r w:rsidR="005A6A4E" w:rsidRPr="005A6A4E">
        <w:rPr>
          <w:rFonts w:cstheme="minorHAnsi"/>
          <w:sz w:val="24"/>
          <w:szCs w:val="24"/>
        </w:rPr>
        <w:t>2 C.F.R. § 200</w:t>
      </w:r>
      <w:r w:rsidR="005A6A4E">
        <w:rPr>
          <w:rFonts w:cstheme="minorHAnsi"/>
          <w:sz w:val="24"/>
          <w:szCs w:val="24"/>
        </w:rPr>
        <w:t xml:space="preserve"> </w:t>
      </w:r>
      <w:r w:rsidRPr="00660F50">
        <w:rPr>
          <w:rFonts w:cstheme="minorHAnsi"/>
          <w:sz w:val="24"/>
          <w:szCs w:val="24"/>
        </w:rPr>
        <w:t>and the current edition of the Department of Justice (DOJ) Grants Financial Guide</w:t>
      </w:r>
      <w:r w:rsidR="00E278CD">
        <w:rPr>
          <w:rFonts w:cstheme="minorHAnsi"/>
          <w:sz w:val="24"/>
          <w:szCs w:val="24"/>
        </w:rPr>
        <w:t>.</w:t>
      </w:r>
      <w:r w:rsidR="00E278CD" w:rsidRPr="00E278CD">
        <w:t xml:space="preserve"> </w:t>
      </w:r>
      <w:r w:rsidR="00E278CD" w:rsidRPr="00E278CD">
        <w:rPr>
          <w:rFonts w:cstheme="minorHAnsi"/>
          <w:sz w:val="24"/>
          <w:szCs w:val="24"/>
        </w:rPr>
        <w:t xml:space="preserve">Not all of these requirements and conditions are included in this document; however, in general, </w:t>
      </w:r>
      <w:r w:rsidR="00E278CD">
        <w:rPr>
          <w:rFonts w:cstheme="minorHAnsi"/>
          <w:sz w:val="24"/>
          <w:szCs w:val="24"/>
        </w:rPr>
        <w:t>PSGAO</w:t>
      </w:r>
      <w:r w:rsidR="00E278CD" w:rsidRPr="00E278CD">
        <w:rPr>
          <w:rFonts w:cstheme="minorHAnsi"/>
          <w:sz w:val="24"/>
          <w:szCs w:val="24"/>
        </w:rPr>
        <w:t xml:space="preserve"> grants are subject to and incorporate by reference, the following fiscal requirements and conditions:</w:t>
      </w:r>
    </w:p>
    <w:p w:rsidR="000C6D3D" w:rsidRDefault="000C6D3D" w:rsidP="00660F50">
      <w:pPr>
        <w:rPr>
          <w:rFonts w:cstheme="minorHAnsi"/>
          <w:b/>
          <w:sz w:val="24"/>
          <w:szCs w:val="24"/>
          <w:u w:val="single"/>
        </w:rPr>
      </w:pPr>
    </w:p>
    <w:p w:rsidR="00660F50" w:rsidRPr="00660F50" w:rsidRDefault="00660F50" w:rsidP="006E6EAE">
      <w:pPr>
        <w:pStyle w:val="Heading2"/>
      </w:pPr>
      <w:bookmarkStart w:id="10" w:name="_Toc8299889"/>
      <w:r w:rsidRPr="00660F50">
        <w:t>Non-Supplanting</w:t>
      </w:r>
      <w:bookmarkEnd w:id="10"/>
      <w:r w:rsidRPr="00660F50">
        <w:t xml:space="preserve"> </w:t>
      </w:r>
    </w:p>
    <w:p w:rsidR="00660F50" w:rsidRPr="00660F50" w:rsidRDefault="00E278CD" w:rsidP="00660F50">
      <w:pPr>
        <w:rPr>
          <w:rFonts w:cstheme="minorHAnsi"/>
          <w:sz w:val="24"/>
          <w:szCs w:val="24"/>
        </w:rPr>
      </w:pPr>
      <w:r>
        <w:rPr>
          <w:rFonts w:cstheme="minorHAnsi"/>
          <w:sz w:val="24"/>
          <w:szCs w:val="24"/>
        </w:rPr>
        <w:tab/>
      </w:r>
      <w:r w:rsidR="00660F50" w:rsidRPr="00660F50">
        <w:rPr>
          <w:rFonts w:cstheme="minorHAnsi"/>
          <w:sz w:val="24"/>
          <w:szCs w:val="24"/>
        </w:rPr>
        <w:t xml:space="preserve">Federal funds may be used only to supplement and not supplant </w:t>
      </w:r>
      <w:r w:rsidR="00F50EC3">
        <w:rPr>
          <w:rFonts w:cstheme="minorHAnsi"/>
          <w:sz w:val="24"/>
          <w:szCs w:val="24"/>
        </w:rPr>
        <w:t xml:space="preserve">state or </w:t>
      </w:r>
      <w:r w:rsidR="00660F50" w:rsidRPr="00660F50">
        <w:rPr>
          <w:rFonts w:cstheme="minorHAnsi"/>
          <w:sz w:val="24"/>
          <w:szCs w:val="24"/>
        </w:rPr>
        <w:t>local funds otherwise available for law enforcement, criminal justice, and victim service programs</w:t>
      </w:r>
      <w:r w:rsidR="005A6A4E">
        <w:rPr>
          <w:rFonts w:cstheme="minorHAnsi"/>
          <w:sz w:val="24"/>
          <w:szCs w:val="24"/>
        </w:rPr>
        <w:t>.</w:t>
      </w:r>
    </w:p>
    <w:p w:rsidR="0056697B" w:rsidRDefault="00660F50" w:rsidP="005A6A4E">
      <w:pPr>
        <w:pStyle w:val="Heading2"/>
        <w:rPr>
          <w:rFonts w:cstheme="minorHAnsi"/>
          <w:sz w:val="24"/>
          <w:szCs w:val="24"/>
        </w:rPr>
      </w:pPr>
      <w:r w:rsidRPr="00660F50">
        <w:rPr>
          <w:rFonts w:cstheme="minorHAnsi"/>
          <w:sz w:val="24"/>
          <w:szCs w:val="24"/>
        </w:rPr>
        <w:t xml:space="preserve"> </w:t>
      </w:r>
    </w:p>
    <w:p w:rsidR="00660F50" w:rsidRPr="005A6A4E" w:rsidRDefault="00660F50" w:rsidP="005A6A4E">
      <w:pPr>
        <w:pStyle w:val="Heading2"/>
        <w:rPr>
          <w:rFonts w:cstheme="minorHAnsi"/>
          <w:sz w:val="24"/>
          <w:szCs w:val="24"/>
        </w:rPr>
      </w:pPr>
      <w:bookmarkStart w:id="11" w:name="_Toc8299890"/>
      <w:r w:rsidRPr="00660F50">
        <w:t>Allowable Costs</w:t>
      </w:r>
      <w:bookmarkEnd w:id="11"/>
      <w:r w:rsidRPr="00660F50">
        <w:t xml:space="preserve"> </w:t>
      </w:r>
    </w:p>
    <w:p w:rsidR="00660F50" w:rsidRPr="00660F50" w:rsidRDefault="00660F50" w:rsidP="00660F50">
      <w:pPr>
        <w:rPr>
          <w:rFonts w:cstheme="minorHAnsi"/>
          <w:sz w:val="24"/>
          <w:szCs w:val="24"/>
        </w:rPr>
      </w:pPr>
      <w:r w:rsidRPr="00660F50">
        <w:rPr>
          <w:rFonts w:cstheme="minorHAnsi"/>
          <w:sz w:val="24"/>
          <w:szCs w:val="24"/>
        </w:rPr>
        <w:t xml:space="preserve"> </w:t>
      </w:r>
      <w:r w:rsidR="005A6A4E">
        <w:rPr>
          <w:rFonts w:cstheme="minorHAnsi"/>
          <w:sz w:val="24"/>
          <w:szCs w:val="24"/>
        </w:rPr>
        <w:tab/>
      </w:r>
      <w:r w:rsidRPr="00660F50">
        <w:rPr>
          <w:rFonts w:cstheme="minorHAnsi"/>
          <w:sz w:val="24"/>
          <w:szCs w:val="24"/>
        </w:rPr>
        <w:t xml:space="preserve">The following is a list of services, activities, and costs that are allowable and eligible for support with VOCA </w:t>
      </w:r>
      <w:r w:rsidR="00EB0084">
        <w:rPr>
          <w:rFonts w:cstheme="minorHAnsi"/>
          <w:sz w:val="24"/>
          <w:szCs w:val="24"/>
        </w:rPr>
        <w:t>g</w:t>
      </w:r>
      <w:r w:rsidRPr="00660F50">
        <w:rPr>
          <w:rFonts w:cstheme="minorHAnsi"/>
          <w:sz w:val="24"/>
          <w:szCs w:val="24"/>
        </w:rPr>
        <w:t xml:space="preserve">rant funds under the VOCA Guidelines:  </w:t>
      </w:r>
    </w:p>
    <w:p w:rsidR="00660F50" w:rsidRPr="00660F50" w:rsidRDefault="00660F50" w:rsidP="00660F50">
      <w:pPr>
        <w:rPr>
          <w:rFonts w:cstheme="minorHAnsi"/>
          <w:sz w:val="24"/>
          <w:szCs w:val="24"/>
        </w:rPr>
      </w:pPr>
      <w:r w:rsidRPr="00660F50">
        <w:rPr>
          <w:rFonts w:cstheme="minorHAnsi"/>
          <w:sz w:val="24"/>
          <w:szCs w:val="24"/>
        </w:rPr>
        <w:t xml:space="preserve"> </w:t>
      </w:r>
      <w:r w:rsidR="009F67A3">
        <w:rPr>
          <w:rFonts w:cstheme="minorHAnsi"/>
          <w:sz w:val="24"/>
          <w:szCs w:val="24"/>
        </w:rPr>
        <w:tab/>
      </w:r>
      <w:r w:rsidRPr="00660F50">
        <w:rPr>
          <w:rFonts w:cstheme="minorHAnsi"/>
          <w:sz w:val="24"/>
          <w:szCs w:val="24"/>
        </w:rPr>
        <w:t xml:space="preserve">a. Immediate Health and Safety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Services which respond to the immediate emotional and physical needs (excluding medical care) of crime victims such as crisis intervention; accompaniment to hospitals for medical examinations; hotline counseling; emergency food, clothing, transportation and shelter (including emergency, short-term nursing home shelter for elder abuse victims for whom no other safer, short-term residence is available); and other emergency services that are intended to restore the victim’s sense of security. Also allowable under this category is emergency legal assistance such as filing restraining orders and obtaining emergency custody/visitation rights, boarding-up broken windows and/or replacing locks. </w:t>
      </w:r>
    </w:p>
    <w:p w:rsidR="00660F50" w:rsidRPr="00660F50" w:rsidRDefault="00660F50" w:rsidP="00660F50">
      <w:pPr>
        <w:rPr>
          <w:rFonts w:cstheme="minorHAnsi"/>
          <w:sz w:val="24"/>
          <w:szCs w:val="24"/>
        </w:rPr>
      </w:pPr>
      <w:r w:rsidRPr="00660F50">
        <w:rPr>
          <w:rFonts w:cstheme="minorHAnsi"/>
          <w:sz w:val="24"/>
          <w:szCs w:val="24"/>
        </w:rPr>
        <w:t xml:space="preserve"> </w:t>
      </w:r>
      <w:r w:rsidR="009F67A3">
        <w:rPr>
          <w:rFonts w:cstheme="minorHAnsi"/>
          <w:sz w:val="24"/>
          <w:szCs w:val="24"/>
        </w:rPr>
        <w:tab/>
      </w:r>
      <w:r w:rsidRPr="00660F50">
        <w:rPr>
          <w:rFonts w:cstheme="minorHAnsi"/>
          <w:sz w:val="24"/>
          <w:szCs w:val="24"/>
        </w:rPr>
        <w:t xml:space="preserve">b. Mental Health Assistance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Services that assist the primary and secondary victims of crime in understanding the dynamics of victimization and in stabilizing their lives after victimization such as counseling, group treatment, and therapy.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 c. Assistance with Participation in Criminal Justice Proceedings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Services may include advocacy on behalf of crime victims; accompaniment to criminal justice offices and court; transportation to court; child care or respite care to enable a victim to attend court; notification of victims regarding trial dates, case disposition information, and parole consideration procedures; and assistance with victim statements.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d. Forensic Examinations </w:t>
      </w:r>
    </w:p>
    <w:p w:rsidR="00660F50" w:rsidRPr="00660F50" w:rsidRDefault="009F67A3" w:rsidP="00660F50">
      <w:pPr>
        <w:rPr>
          <w:rFonts w:cstheme="minorHAnsi"/>
          <w:sz w:val="24"/>
          <w:szCs w:val="24"/>
        </w:rPr>
      </w:pPr>
      <w:r>
        <w:rPr>
          <w:rFonts w:cstheme="minorHAnsi"/>
          <w:sz w:val="24"/>
          <w:szCs w:val="24"/>
        </w:rPr>
        <w:lastRenderedPageBreak/>
        <w:tab/>
      </w:r>
      <w:r w:rsidR="00660F50" w:rsidRPr="00660F50">
        <w:rPr>
          <w:rFonts w:cstheme="minorHAnsi"/>
          <w:sz w:val="24"/>
          <w:szCs w:val="24"/>
        </w:rPr>
        <w:t xml:space="preserve">For sexual assault victims, forensic exams are allowable costs only to the extent that other funding sources are unavailable or insufficient, and such exams conform to state evidentiary collection requirements.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e. Costs Necessary and Essential to Providing Direct Services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Pro-rated costs of rent, telephone services, transportation costs for victims to receive services, emergency transportation costs that enable a victim to participate in the criminal justice system, and local travel expenses for service providers are allowable.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f. Special Services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Services to assist crime victims with managing practical problems created by the victimization such as acting on behalf of the victim to other service providers, creditors, or employers; assisting the victim to recover property that is retained as evidence; assisting in filing for compensation benefits; and helping to apply for public assistance.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g. Relocation Expenses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VOCA grant funds can support relocation expenses for crime victims, such as emergency shelter, moving expenses; security deposits on housing and rental costs under certain circumstances which are reviewed and approved by </w:t>
      </w:r>
      <w:r w:rsidR="000D0747">
        <w:rPr>
          <w:rFonts w:cstheme="minorHAnsi"/>
          <w:sz w:val="24"/>
          <w:szCs w:val="24"/>
        </w:rPr>
        <w:t>the PSGAO.</w:t>
      </w:r>
      <w:r w:rsidR="00660F50" w:rsidRPr="00660F50">
        <w:rPr>
          <w:rFonts w:cstheme="minorHAnsi"/>
          <w:sz w:val="24"/>
          <w:szCs w:val="24"/>
        </w:rPr>
        <w:t xml:space="preserve">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h. Personnel Costs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Costs directly related to providing direct services, such as staff salaries and fringe benefits, including malpractice insurance; the cost of advertising to recruit VOCA-funded personnel; and the costs of training paid and volunteer staff. </w:t>
      </w:r>
    </w:p>
    <w:p w:rsidR="00660F50" w:rsidRPr="00660F50" w:rsidRDefault="009F67A3" w:rsidP="00660F50">
      <w:pPr>
        <w:rPr>
          <w:rFonts w:cstheme="minorHAnsi"/>
          <w:sz w:val="24"/>
          <w:szCs w:val="24"/>
        </w:rPr>
      </w:pPr>
      <w:r>
        <w:rPr>
          <w:rFonts w:cstheme="minorHAnsi"/>
          <w:sz w:val="24"/>
          <w:szCs w:val="24"/>
        </w:rPr>
        <w:tab/>
      </w:r>
      <w:proofErr w:type="spellStart"/>
      <w:r w:rsidR="00660F50" w:rsidRPr="00660F50">
        <w:rPr>
          <w:rFonts w:cstheme="minorHAnsi"/>
          <w:sz w:val="24"/>
          <w:szCs w:val="24"/>
        </w:rPr>
        <w:t>i</w:t>
      </w:r>
      <w:proofErr w:type="spellEnd"/>
      <w:r w:rsidR="00660F50" w:rsidRPr="00660F50">
        <w:rPr>
          <w:rFonts w:cstheme="minorHAnsi"/>
          <w:sz w:val="24"/>
          <w:szCs w:val="24"/>
        </w:rPr>
        <w:t xml:space="preserve">. Restorative Justice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Opportunities for crime victims to meet with perpetrators, if such meetings are requested or voluntarily agreed to by the victim and have possible beneficial or therapeutic value to crime victims.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j. Services for Incarcerated Victims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The costs permitted for direct services to incarcerated victims are the same as those permitted for such services to any crime victim. </w:t>
      </w:r>
      <w:r w:rsidR="000D0747">
        <w:rPr>
          <w:rFonts w:cstheme="minorHAnsi"/>
          <w:sz w:val="24"/>
          <w:szCs w:val="24"/>
        </w:rPr>
        <w:t xml:space="preserve"> </w:t>
      </w:r>
      <w:r w:rsidR="00660F50" w:rsidRPr="00660F50">
        <w:rPr>
          <w:rFonts w:cstheme="minorHAnsi"/>
          <w:sz w:val="24"/>
          <w:szCs w:val="24"/>
        </w:rPr>
        <w:t>Nothing in VOCA</w:t>
      </w:r>
      <w:r w:rsidR="004A3892">
        <w:rPr>
          <w:rFonts w:cstheme="minorHAnsi"/>
          <w:sz w:val="24"/>
          <w:szCs w:val="24"/>
        </w:rPr>
        <w:t xml:space="preserve"> </w:t>
      </w:r>
      <w:r w:rsidR="00660F50" w:rsidRPr="00660F50">
        <w:rPr>
          <w:rFonts w:cstheme="minorHAnsi"/>
          <w:sz w:val="24"/>
          <w:szCs w:val="24"/>
        </w:rPr>
        <w:t xml:space="preserve">allows funding to be diverted to “prison purposes;” rather, VOCA funding is expressly limited by statute to victim services and associated activities. </w:t>
      </w:r>
    </w:p>
    <w:p w:rsidR="00AB389A" w:rsidRDefault="00AB389A" w:rsidP="005A6A4E">
      <w:pPr>
        <w:pStyle w:val="Heading2"/>
      </w:pPr>
    </w:p>
    <w:p w:rsidR="006E6EAE" w:rsidRDefault="00660F50" w:rsidP="005A6A4E">
      <w:pPr>
        <w:pStyle w:val="Heading2"/>
      </w:pPr>
      <w:bookmarkStart w:id="12" w:name="_Toc8299891"/>
      <w:r w:rsidRPr="00660F50">
        <w:t>Unallowable Costs</w:t>
      </w:r>
      <w:bookmarkEnd w:id="12"/>
    </w:p>
    <w:p w:rsidR="000D0747" w:rsidRDefault="00AB389A" w:rsidP="00660F50">
      <w:pPr>
        <w:rPr>
          <w:rFonts w:cstheme="minorHAnsi"/>
          <w:sz w:val="24"/>
          <w:szCs w:val="24"/>
        </w:rPr>
      </w:pPr>
      <w:r>
        <w:rPr>
          <w:rFonts w:cstheme="minorHAnsi"/>
          <w:sz w:val="24"/>
          <w:szCs w:val="24"/>
        </w:rPr>
        <w:tab/>
      </w:r>
      <w:r w:rsidR="00660F50" w:rsidRPr="00660F50">
        <w:rPr>
          <w:rFonts w:cstheme="minorHAnsi"/>
          <w:sz w:val="24"/>
          <w:szCs w:val="24"/>
        </w:rPr>
        <w:t xml:space="preserve">The following is a non-exhaustive list of services, activities, and costs that are not supported with VOCA funds: </w:t>
      </w:r>
    </w:p>
    <w:p w:rsidR="00660F50" w:rsidRPr="00660F50" w:rsidRDefault="009F67A3" w:rsidP="00660F50">
      <w:pPr>
        <w:rPr>
          <w:rFonts w:cstheme="minorHAnsi"/>
          <w:sz w:val="24"/>
          <w:szCs w:val="24"/>
        </w:rPr>
      </w:pPr>
      <w:r>
        <w:rPr>
          <w:rFonts w:cstheme="minorHAnsi"/>
          <w:sz w:val="24"/>
          <w:szCs w:val="24"/>
        </w:rPr>
        <w:lastRenderedPageBreak/>
        <w:tab/>
      </w:r>
      <w:r w:rsidR="00660F50" w:rsidRPr="00660F50">
        <w:rPr>
          <w:rFonts w:cstheme="minorHAnsi"/>
          <w:sz w:val="24"/>
          <w:szCs w:val="24"/>
        </w:rPr>
        <w:t xml:space="preserve">a. Lobbying and Administrative Advocacy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VOCA grant funds cannot support victim legislation or administrative reform, whether conducted directly or indirectly. </w:t>
      </w:r>
    </w:p>
    <w:p w:rsidR="00660F50" w:rsidRPr="00E25BD3" w:rsidRDefault="009F67A3" w:rsidP="00660F50">
      <w:pPr>
        <w:rPr>
          <w:rFonts w:cstheme="minorHAnsi"/>
          <w:sz w:val="24"/>
          <w:szCs w:val="24"/>
        </w:rPr>
      </w:pPr>
      <w:r>
        <w:rPr>
          <w:rFonts w:cstheme="minorHAnsi"/>
          <w:sz w:val="24"/>
          <w:szCs w:val="24"/>
        </w:rPr>
        <w:tab/>
      </w:r>
      <w:r w:rsidR="00660F50" w:rsidRPr="00E25BD3">
        <w:rPr>
          <w:rFonts w:cstheme="minorHAnsi"/>
          <w:sz w:val="24"/>
          <w:szCs w:val="24"/>
        </w:rPr>
        <w:t xml:space="preserve">b. Prosecution Activities </w:t>
      </w:r>
    </w:p>
    <w:p w:rsidR="00660F50" w:rsidRPr="00660F50" w:rsidRDefault="009F67A3" w:rsidP="00660F50">
      <w:pPr>
        <w:rPr>
          <w:rFonts w:cstheme="minorHAnsi"/>
          <w:sz w:val="24"/>
          <w:szCs w:val="24"/>
        </w:rPr>
      </w:pPr>
      <w:r>
        <w:rPr>
          <w:rFonts w:cstheme="minorHAnsi"/>
          <w:sz w:val="24"/>
          <w:szCs w:val="24"/>
        </w:rPr>
        <w:tab/>
      </w:r>
      <w:r w:rsidR="00660F50" w:rsidRPr="00E25BD3">
        <w:rPr>
          <w:rFonts w:cstheme="minorHAnsi"/>
          <w:sz w:val="24"/>
          <w:szCs w:val="24"/>
        </w:rPr>
        <w:t>VOCA grant funds cannot be used to pay for activities that are directed at prosecuting an offender and/or improving the criminal justice system’s effectiveness and efficiency, such as witness notification and management activities and expert testimony at trial.  In addition, victim witness protection costs and subsequent lodging and meal expenses are considered part of the criminal justice agency’s responsibility and cannot be supported with VOCA grant funds.</w:t>
      </w:r>
      <w:r w:rsidR="00660F50" w:rsidRPr="00660F50">
        <w:rPr>
          <w:rFonts w:cstheme="minorHAnsi"/>
          <w:sz w:val="24"/>
          <w:szCs w:val="24"/>
        </w:rPr>
        <w:t xml:space="preserve">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 d. Property Loss </w:t>
      </w:r>
    </w:p>
    <w:p w:rsidR="00660F50" w:rsidRPr="00660F50" w:rsidRDefault="00660F50" w:rsidP="00660F50">
      <w:pPr>
        <w:rPr>
          <w:rFonts w:cstheme="minorHAnsi"/>
          <w:sz w:val="24"/>
          <w:szCs w:val="24"/>
        </w:rPr>
      </w:pPr>
      <w:r w:rsidRPr="00660F50">
        <w:rPr>
          <w:rFonts w:cstheme="minorHAnsi"/>
          <w:sz w:val="24"/>
          <w:szCs w:val="24"/>
        </w:rPr>
        <w:t xml:space="preserve"> </w:t>
      </w:r>
      <w:r w:rsidR="009F67A3">
        <w:rPr>
          <w:rFonts w:cstheme="minorHAnsi"/>
          <w:sz w:val="24"/>
          <w:szCs w:val="24"/>
        </w:rPr>
        <w:tab/>
      </w:r>
      <w:r w:rsidRPr="00660F50">
        <w:rPr>
          <w:rFonts w:cstheme="minorHAnsi"/>
          <w:sz w:val="24"/>
          <w:szCs w:val="24"/>
        </w:rPr>
        <w:t xml:space="preserve">VOCA grant funds cannot be used to reimburse crime victims for expenses incurred as a result of a crime (e.g., insurance deductibles, replacement of stolen property, funeral expenses, lost wages, and most medical costs). </w:t>
      </w:r>
    </w:p>
    <w:p w:rsidR="00660F50" w:rsidRPr="00660F50" w:rsidRDefault="00660F50" w:rsidP="00660F50">
      <w:pPr>
        <w:rPr>
          <w:rFonts w:cstheme="minorHAnsi"/>
          <w:sz w:val="24"/>
          <w:szCs w:val="24"/>
        </w:rPr>
      </w:pPr>
      <w:r w:rsidRPr="00660F50">
        <w:rPr>
          <w:rFonts w:cstheme="minorHAnsi"/>
          <w:sz w:val="24"/>
          <w:szCs w:val="24"/>
        </w:rPr>
        <w:t xml:space="preserve"> </w:t>
      </w:r>
      <w:r w:rsidR="009F67A3">
        <w:rPr>
          <w:rFonts w:cstheme="minorHAnsi"/>
          <w:sz w:val="24"/>
          <w:szCs w:val="24"/>
        </w:rPr>
        <w:tab/>
      </w:r>
      <w:r w:rsidRPr="00660F50">
        <w:rPr>
          <w:rFonts w:cstheme="minorHAnsi"/>
          <w:sz w:val="24"/>
          <w:szCs w:val="24"/>
        </w:rPr>
        <w:t xml:space="preserve">e. Most Medical Costs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VOCA grant funds cannot pay for nursing home care, home healthcare costs, inpatient treatment costs, hospital care, and other types of emergency and nonemergency medical and/or dental treatment. VOCA grant funds cannot support medical costs resulting from victimization, except for forensic medical examinations for sexual assault victims.  (For sexual assault victims, forensic exams are allowable only to the extent that other funding sources are unavailable or insufficient, and such exams conform to state evidentiary collection requirements.) </w:t>
      </w:r>
    </w:p>
    <w:p w:rsidR="00660F50" w:rsidRPr="00660F50" w:rsidRDefault="009F67A3" w:rsidP="00660F50">
      <w:pPr>
        <w:rPr>
          <w:rFonts w:cstheme="minorHAnsi"/>
          <w:sz w:val="24"/>
          <w:szCs w:val="24"/>
        </w:rPr>
      </w:pPr>
      <w:r>
        <w:rPr>
          <w:rFonts w:cstheme="minorHAnsi"/>
          <w:sz w:val="24"/>
          <w:szCs w:val="24"/>
        </w:rPr>
        <w:tab/>
      </w:r>
      <w:r w:rsidR="00660F50" w:rsidRPr="00660F50">
        <w:rPr>
          <w:rFonts w:cstheme="minorHAnsi"/>
          <w:sz w:val="24"/>
          <w:szCs w:val="24"/>
        </w:rPr>
        <w:t xml:space="preserve">f. Development of Protocols, Interagency Agreements, and Other Working Agreements </w:t>
      </w:r>
    </w:p>
    <w:p w:rsidR="00660F50" w:rsidRPr="00660F50" w:rsidRDefault="00660F50" w:rsidP="00660F50">
      <w:pPr>
        <w:rPr>
          <w:rFonts w:cstheme="minorHAnsi"/>
          <w:sz w:val="24"/>
          <w:szCs w:val="24"/>
        </w:rPr>
      </w:pPr>
      <w:r w:rsidRPr="00660F50">
        <w:rPr>
          <w:rFonts w:cstheme="minorHAnsi"/>
          <w:sz w:val="24"/>
          <w:szCs w:val="24"/>
        </w:rPr>
        <w:t xml:space="preserve"> </w:t>
      </w:r>
      <w:r w:rsidR="009F67A3">
        <w:rPr>
          <w:rFonts w:cstheme="minorHAnsi"/>
          <w:sz w:val="24"/>
          <w:szCs w:val="24"/>
        </w:rPr>
        <w:tab/>
      </w:r>
      <w:r w:rsidRPr="00660F50">
        <w:rPr>
          <w:rFonts w:cstheme="minorHAnsi"/>
          <w:sz w:val="24"/>
          <w:szCs w:val="24"/>
        </w:rPr>
        <w:t xml:space="preserve">g. Costs of Sending Individual Crime Victims to Conferences </w:t>
      </w:r>
    </w:p>
    <w:p w:rsidR="00660F50" w:rsidRPr="00660F50" w:rsidRDefault="00660F50" w:rsidP="00660F50">
      <w:pPr>
        <w:rPr>
          <w:rFonts w:cstheme="minorHAnsi"/>
          <w:sz w:val="24"/>
          <w:szCs w:val="24"/>
        </w:rPr>
      </w:pPr>
    </w:p>
    <w:p w:rsidR="00660F50" w:rsidRPr="00660F50" w:rsidRDefault="00660F50" w:rsidP="00CD45A7">
      <w:pPr>
        <w:pStyle w:val="Heading2"/>
      </w:pPr>
      <w:bookmarkStart w:id="13" w:name="_Toc8299892"/>
      <w:r w:rsidRPr="00897689">
        <w:t>Indirect Costs</w:t>
      </w:r>
      <w:bookmarkEnd w:id="13"/>
      <w:r w:rsidRPr="00660F50">
        <w:t xml:space="preserve"> </w:t>
      </w:r>
    </w:p>
    <w:p w:rsidR="00660F50" w:rsidRPr="00660F50" w:rsidRDefault="00A35B83" w:rsidP="00660F50">
      <w:pPr>
        <w:rPr>
          <w:rFonts w:cstheme="minorHAnsi"/>
          <w:sz w:val="24"/>
          <w:szCs w:val="24"/>
        </w:rPr>
      </w:pPr>
      <w:r>
        <w:rPr>
          <w:rFonts w:cstheme="minorHAnsi"/>
          <w:sz w:val="24"/>
          <w:szCs w:val="24"/>
        </w:rPr>
        <w:tab/>
      </w:r>
      <w:r w:rsidR="00660F50" w:rsidRPr="00660F50">
        <w:rPr>
          <w:rFonts w:cstheme="minorHAnsi"/>
          <w:sz w:val="24"/>
          <w:szCs w:val="24"/>
        </w:rPr>
        <w:t xml:space="preserve">Indirect costs are costs of an organization that are not readily assignable to a particular </w:t>
      </w:r>
      <w:r w:rsidR="00E25BD3" w:rsidRPr="00660F50">
        <w:rPr>
          <w:rFonts w:cstheme="minorHAnsi"/>
          <w:sz w:val="24"/>
          <w:szCs w:val="24"/>
        </w:rPr>
        <w:t>project but</w:t>
      </w:r>
      <w:r w:rsidR="00660F50" w:rsidRPr="00660F50">
        <w:rPr>
          <w:rFonts w:cstheme="minorHAnsi"/>
          <w:sz w:val="24"/>
          <w:szCs w:val="24"/>
        </w:rPr>
        <w:t xml:space="preserve"> are necessary to the operation of the organization and the performance of the project. Such costs are generally identified with the organization’s overall operation and are further described in the Uniform Administrative Requirements, Costs Principles, and Audit Requirements in 2 C.F.R. </w:t>
      </w:r>
      <w:r w:rsidR="00E25BD3" w:rsidRPr="005A6A4E">
        <w:rPr>
          <w:rFonts w:cstheme="minorHAnsi"/>
          <w:sz w:val="24"/>
          <w:szCs w:val="24"/>
        </w:rPr>
        <w:t>§</w:t>
      </w:r>
      <w:r w:rsidR="00E25BD3">
        <w:rPr>
          <w:rFonts w:cstheme="minorHAnsi"/>
          <w:sz w:val="24"/>
          <w:szCs w:val="24"/>
        </w:rPr>
        <w:t xml:space="preserve"> </w:t>
      </w:r>
      <w:r w:rsidR="00660F50" w:rsidRPr="00660F50">
        <w:rPr>
          <w:rFonts w:cstheme="minorHAnsi"/>
          <w:sz w:val="24"/>
          <w:szCs w:val="24"/>
        </w:rPr>
        <w:t xml:space="preserve">200, as adopted and supplemented by the Department of Justice in 2 C.F.R </w:t>
      </w:r>
      <w:r w:rsidR="00E25BD3" w:rsidRPr="005A6A4E">
        <w:rPr>
          <w:rFonts w:cstheme="minorHAnsi"/>
          <w:sz w:val="24"/>
          <w:szCs w:val="24"/>
        </w:rPr>
        <w:t>§</w:t>
      </w:r>
      <w:r w:rsidR="00E25BD3">
        <w:rPr>
          <w:rFonts w:cstheme="minorHAnsi"/>
          <w:sz w:val="24"/>
          <w:szCs w:val="24"/>
        </w:rPr>
        <w:t xml:space="preserve"> </w:t>
      </w:r>
      <w:r w:rsidR="00660F50" w:rsidRPr="00660F50">
        <w:rPr>
          <w:rFonts w:cstheme="minorHAnsi"/>
          <w:sz w:val="24"/>
          <w:szCs w:val="24"/>
        </w:rPr>
        <w:t xml:space="preserve">2800 (the “Part 200 Uniform Requirements”). The cost of operating and maintaining facilities, depreciation, and administrative salaries are examples of indirect costs.  </w:t>
      </w:r>
    </w:p>
    <w:p w:rsidR="00660F50" w:rsidRPr="00660F50" w:rsidRDefault="00A35B83" w:rsidP="00660F50">
      <w:pPr>
        <w:rPr>
          <w:rFonts w:cstheme="minorHAnsi"/>
          <w:sz w:val="24"/>
          <w:szCs w:val="24"/>
        </w:rPr>
      </w:pPr>
      <w:r>
        <w:rPr>
          <w:rFonts w:cstheme="minorHAnsi"/>
          <w:sz w:val="24"/>
          <w:szCs w:val="24"/>
        </w:rPr>
        <w:tab/>
      </w:r>
      <w:r w:rsidR="00660F50" w:rsidRPr="00A35B83">
        <w:rPr>
          <w:rFonts w:cstheme="minorHAnsi"/>
          <w:sz w:val="24"/>
          <w:szCs w:val="24"/>
        </w:rPr>
        <w:t xml:space="preserve">Indirect costs are allowed if </w:t>
      </w:r>
      <w:r w:rsidR="008C6BEC">
        <w:rPr>
          <w:rFonts w:cstheme="minorHAnsi"/>
          <w:sz w:val="24"/>
          <w:szCs w:val="24"/>
        </w:rPr>
        <w:t>s</w:t>
      </w:r>
      <w:r w:rsidR="00437089">
        <w:rPr>
          <w:rFonts w:cstheme="minorHAnsi"/>
          <w:sz w:val="24"/>
          <w:szCs w:val="24"/>
        </w:rPr>
        <w:t>ubrecipient</w:t>
      </w:r>
      <w:r w:rsidR="00660F50" w:rsidRPr="00A35B83">
        <w:rPr>
          <w:rFonts w:cstheme="minorHAnsi"/>
          <w:sz w:val="24"/>
          <w:szCs w:val="24"/>
        </w:rPr>
        <w:t xml:space="preserve"> has a current federally approved indirect cost rate.  </w:t>
      </w:r>
      <w:r w:rsidR="00437089">
        <w:rPr>
          <w:rFonts w:cstheme="minorHAnsi"/>
          <w:sz w:val="24"/>
          <w:szCs w:val="24"/>
        </w:rPr>
        <w:t>Subrecipient</w:t>
      </w:r>
      <w:r w:rsidR="00660F50" w:rsidRPr="00A35B83">
        <w:rPr>
          <w:rFonts w:cstheme="minorHAnsi"/>
          <w:sz w:val="24"/>
          <w:szCs w:val="24"/>
        </w:rPr>
        <w:t xml:space="preserve"> must provide a copy of the federally approved indirect cost rate agreement </w:t>
      </w:r>
      <w:r w:rsidR="00660F50" w:rsidRPr="00A35B83">
        <w:rPr>
          <w:rFonts w:cstheme="minorHAnsi"/>
          <w:sz w:val="24"/>
          <w:szCs w:val="24"/>
        </w:rPr>
        <w:lastRenderedPageBreak/>
        <w:t xml:space="preserve">to </w:t>
      </w:r>
      <w:r w:rsidR="00524D57" w:rsidRPr="00A35B83">
        <w:rPr>
          <w:rFonts w:cstheme="minorHAnsi"/>
          <w:sz w:val="24"/>
          <w:szCs w:val="24"/>
        </w:rPr>
        <w:t>the PSGAO</w:t>
      </w:r>
      <w:r w:rsidR="00660F50" w:rsidRPr="00A35B83">
        <w:rPr>
          <w:rFonts w:cstheme="minorHAnsi"/>
          <w:sz w:val="24"/>
          <w:szCs w:val="24"/>
        </w:rPr>
        <w:t xml:space="preserve">. </w:t>
      </w:r>
      <w:r w:rsidR="00437089">
        <w:rPr>
          <w:rFonts w:cstheme="minorHAnsi"/>
          <w:sz w:val="24"/>
          <w:szCs w:val="24"/>
        </w:rPr>
        <w:t>Subrecipient</w:t>
      </w:r>
      <w:r w:rsidR="00660F50" w:rsidRPr="00A35B83">
        <w:rPr>
          <w:rFonts w:cstheme="minorHAnsi"/>
          <w:sz w:val="24"/>
          <w:szCs w:val="24"/>
        </w:rPr>
        <w:t xml:space="preserve"> that has never received a federally approved indirect cost rate may use the Certification of 10% De Minimis Indirect Cost Rate.</w:t>
      </w:r>
      <w:r w:rsidR="00660F50" w:rsidRPr="00660F50">
        <w:rPr>
          <w:rFonts w:cstheme="minorHAnsi"/>
          <w:sz w:val="24"/>
          <w:szCs w:val="24"/>
        </w:rPr>
        <w:t xml:space="preserve"> </w:t>
      </w:r>
    </w:p>
    <w:p w:rsidR="00AB389A" w:rsidRDefault="00AB389A" w:rsidP="00CD45A7">
      <w:pPr>
        <w:pStyle w:val="Heading2"/>
      </w:pPr>
    </w:p>
    <w:p w:rsidR="00660F50" w:rsidRPr="00660F50" w:rsidRDefault="00660F50" w:rsidP="00CD45A7">
      <w:pPr>
        <w:pStyle w:val="Heading2"/>
      </w:pPr>
      <w:bookmarkStart w:id="14" w:name="_Toc8299893"/>
      <w:r w:rsidRPr="00897689">
        <w:t>Program Income</w:t>
      </w:r>
      <w:bookmarkEnd w:id="14"/>
      <w:r w:rsidRPr="00660F50">
        <w:t xml:space="preserve"> </w:t>
      </w:r>
    </w:p>
    <w:p w:rsidR="004B4616" w:rsidRPr="00660F50" w:rsidRDefault="00660F50" w:rsidP="00660F50">
      <w:pPr>
        <w:rPr>
          <w:rFonts w:cstheme="minorHAnsi"/>
          <w:sz w:val="24"/>
          <w:szCs w:val="24"/>
        </w:rPr>
      </w:pPr>
      <w:r w:rsidRPr="00660F50">
        <w:rPr>
          <w:rFonts w:cstheme="minorHAnsi"/>
          <w:sz w:val="24"/>
          <w:szCs w:val="24"/>
        </w:rPr>
        <w:t xml:space="preserve"> </w:t>
      </w:r>
      <w:r w:rsidR="004B4616">
        <w:rPr>
          <w:rFonts w:cstheme="minorHAnsi"/>
          <w:sz w:val="24"/>
          <w:szCs w:val="24"/>
        </w:rPr>
        <w:tab/>
      </w:r>
      <w:r w:rsidRPr="00660F50">
        <w:rPr>
          <w:rFonts w:cstheme="minorHAnsi"/>
          <w:sz w:val="24"/>
          <w:szCs w:val="24"/>
        </w:rPr>
        <w:t xml:space="preserve">Program income means gross income earned by </w:t>
      </w:r>
      <w:r w:rsidR="008C6BEC">
        <w:rPr>
          <w:rFonts w:cstheme="minorHAnsi"/>
          <w:sz w:val="24"/>
          <w:szCs w:val="24"/>
        </w:rPr>
        <w:t>s</w:t>
      </w:r>
      <w:r w:rsidR="00437089">
        <w:rPr>
          <w:rFonts w:cstheme="minorHAnsi"/>
          <w:sz w:val="24"/>
          <w:szCs w:val="24"/>
        </w:rPr>
        <w:t>ubrecipient</w:t>
      </w:r>
      <w:r w:rsidRPr="00660F50">
        <w:rPr>
          <w:rFonts w:cstheme="minorHAnsi"/>
          <w:sz w:val="24"/>
          <w:szCs w:val="24"/>
        </w:rPr>
        <w:t xml:space="preserve"> that is directly generated by a supported activity or earned as a result of the </w:t>
      </w:r>
      <w:r w:rsidR="008C6BEC">
        <w:rPr>
          <w:rFonts w:cstheme="minorHAnsi"/>
          <w:sz w:val="24"/>
          <w:szCs w:val="24"/>
        </w:rPr>
        <w:t>f</w:t>
      </w:r>
      <w:r w:rsidRPr="00660F50">
        <w:rPr>
          <w:rFonts w:cstheme="minorHAnsi"/>
          <w:sz w:val="24"/>
          <w:szCs w:val="24"/>
        </w:rPr>
        <w:t xml:space="preserve">ederal award during the project period. </w:t>
      </w:r>
      <w:r w:rsidR="00437089">
        <w:rPr>
          <w:rFonts w:cstheme="minorHAnsi"/>
          <w:sz w:val="24"/>
          <w:szCs w:val="24"/>
        </w:rPr>
        <w:t>Subrecipient</w:t>
      </w:r>
      <w:r w:rsidRPr="00660F50">
        <w:rPr>
          <w:rFonts w:cstheme="minorHAnsi"/>
          <w:sz w:val="24"/>
          <w:szCs w:val="24"/>
        </w:rPr>
        <w:t xml:space="preserve"> can use program income to advance program objectives or refund the income back to</w:t>
      </w:r>
      <w:r w:rsidR="004B4616">
        <w:rPr>
          <w:rFonts w:cstheme="minorHAnsi"/>
          <w:sz w:val="24"/>
          <w:szCs w:val="24"/>
        </w:rPr>
        <w:t xml:space="preserve"> the </w:t>
      </w:r>
      <w:r w:rsidR="00E25BD3">
        <w:rPr>
          <w:rFonts w:cstheme="minorHAnsi"/>
          <w:sz w:val="24"/>
          <w:szCs w:val="24"/>
        </w:rPr>
        <w:t>PSGAO</w:t>
      </w:r>
      <w:r w:rsidRPr="00660F50">
        <w:rPr>
          <w:rFonts w:cstheme="minorHAnsi"/>
          <w:sz w:val="24"/>
          <w:szCs w:val="24"/>
        </w:rPr>
        <w:t>.  Program income may only be used for allowable program costs.  Unless otherwise stipulated in the award, any program income earned during the project period but not utilized for the project must be refunded to</w:t>
      </w:r>
      <w:r w:rsidR="004B4616">
        <w:rPr>
          <w:rFonts w:cstheme="minorHAnsi"/>
          <w:sz w:val="24"/>
          <w:szCs w:val="24"/>
        </w:rPr>
        <w:t xml:space="preserve"> the</w:t>
      </w:r>
      <w:r w:rsidRPr="00660F50">
        <w:rPr>
          <w:rFonts w:cstheme="minorHAnsi"/>
          <w:sz w:val="24"/>
          <w:szCs w:val="24"/>
        </w:rPr>
        <w:t xml:space="preserve"> </w:t>
      </w:r>
      <w:r w:rsidR="00E25BD3">
        <w:rPr>
          <w:rFonts w:cstheme="minorHAnsi"/>
          <w:sz w:val="24"/>
          <w:szCs w:val="24"/>
        </w:rPr>
        <w:t>PSGAO</w:t>
      </w:r>
      <w:r w:rsidRPr="00660F50">
        <w:rPr>
          <w:rFonts w:cstheme="minorHAnsi"/>
          <w:sz w:val="24"/>
          <w:szCs w:val="24"/>
        </w:rPr>
        <w:t xml:space="preserve">. Prior approval to expend the funds for program purposes must be obtained from </w:t>
      </w:r>
      <w:r w:rsidR="004B4616">
        <w:rPr>
          <w:rFonts w:cstheme="minorHAnsi"/>
          <w:sz w:val="24"/>
          <w:szCs w:val="24"/>
        </w:rPr>
        <w:t xml:space="preserve">the </w:t>
      </w:r>
      <w:r w:rsidR="00E25BD3">
        <w:rPr>
          <w:rFonts w:cstheme="minorHAnsi"/>
          <w:sz w:val="24"/>
          <w:szCs w:val="24"/>
        </w:rPr>
        <w:t>PSGAO</w:t>
      </w:r>
      <w:r w:rsidRPr="00660F50">
        <w:rPr>
          <w:rFonts w:cstheme="minorHAnsi"/>
          <w:sz w:val="24"/>
          <w:szCs w:val="24"/>
        </w:rPr>
        <w:t xml:space="preserve"> prior to the expenditure of such funds.  </w:t>
      </w:r>
      <w:r w:rsidRPr="00AB389A">
        <w:rPr>
          <w:rFonts w:cstheme="minorHAnsi"/>
          <w:sz w:val="24"/>
          <w:szCs w:val="24"/>
        </w:rPr>
        <w:t xml:space="preserve">Program income shall be reported by </w:t>
      </w:r>
      <w:r w:rsidR="00437089">
        <w:rPr>
          <w:rFonts w:cstheme="minorHAnsi"/>
          <w:sz w:val="24"/>
          <w:szCs w:val="24"/>
        </w:rPr>
        <w:t>Subrecipient</w:t>
      </w:r>
      <w:r w:rsidRPr="00AB389A">
        <w:rPr>
          <w:rFonts w:cstheme="minorHAnsi"/>
          <w:sz w:val="24"/>
          <w:szCs w:val="24"/>
        </w:rPr>
        <w:t xml:space="preserve"> </w:t>
      </w:r>
      <w:r w:rsidR="00AB389A" w:rsidRPr="00AB389A">
        <w:rPr>
          <w:rFonts w:cstheme="minorHAnsi"/>
          <w:sz w:val="24"/>
          <w:szCs w:val="24"/>
        </w:rPr>
        <w:t>to the PSGAO</w:t>
      </w:r>
    </w:p>
    <w:p w:rsidR="00AB389A" w:rsidRDefault="00AB389A" w:rsidP="00CD45A7">
      <w:pPr>
        <w:pStyle w:val="Heading2"/>
      </w:pPr>
    </w:p>
    <w:p w:rsidR="00660F50" w:rsidRPr="00660F50" w:rsidRDefault="00660F50" w:rsidP="00CD45A7">
      <w:pPr>
        <w:pStyle w:val="Heading2"/>
      </w:pPr>
      <w:bookmarkStart w:id="15" w:name="_Toc8299894"/>
      <w:r w:rsidRPr="00660F50">
        <w:t>Fiscal Administration</w:t>
      </w:r>
      <w:bookmarkEnd w:id="15"/>
      <w:r w:rsidRPr="00660F50">
        <w:t xml:space="preserve"> </w:t>
      </w:r>
    </w:p>
    <w:p w:rsidR="00660F50" w:rsidRPr="00660F50" w:rsidRDefault="00AE7478" w:rsidP="00660F50">
      <w:pPr>
        <w:rPr>
          <w:rFonts w:cstheme="minorHAnsi"/>
          <w:sz w:val="24"/>
          <w:szCs w:val="24"/>
        </w:rPr>
      </w:pPr>
      <w:r>
        <w:rPr>
          <w:rFonts w:cstheme="minorHAnsi"/>
          <w:sz w:val="24"/>
          <w:szCs w:val="24"/>
        </w:rPr>
        <w:tab/>
      </w:r>
      <w:r w:rsidR="00437089">
        <w:rPr>
          <w:rFonts w:cstheme="minorHAnsi"/>
          <w:sz w:val="24"/>
          <w:szCs w:val="24"/>
        </w:rPr>
        <w:t>Subrecipient</w:t>
      </w:r>
      <w:r w:rsidR="00660F50" w:rsidRPr="00660F50">
        <w:rPr>
          <w:rFonts w:cstheme="minorHAnsi"/>
          <w:sz w:val="24"/>
          <w:szCs w:val="24"/>
        </w:rPr>
        <w:t xml:space="preserve">’s records concerning the grant project must be made available for inspection and audit by authorized </w:t>
      </w:r>
      <w:r w:rsidR="008C6BEC">
        <w:rPr>
          <w:rFonts w:cstheme="minorHAnsi"/>
          <w:sz w:val="24"/>
          <w:szCs w:val="24"/>
        </w:rPr>
        <w:t>f</w:t>
      </w:r>
      <w:r w:rsidR="00660F50" w:rsidRPr="00660F50">
        <w:rPr>
          <w:rFonts w:cstheme="minorHAnsi"/>
          <w:sz w:val="24"/>
          <w:szCs w:val="24"/>
        </w:rPr>
        <w:t xml:space="preserve">ederal and state officials in accordance with the DOJ Grants Financial Guide. </w:t>
      </w:r>
    </w:p>
    <w:p w:rsidR="00B50E7C" w:rsidRDefault="00B50E7C" w:rsidP="00026602">
      <w:pPr>
        <w:pStyle w:val="Heading2"/>
      </w:pPr>
    </w:p>
    <w:p w:rsidR="00660F50" w:rsidRPr="00660F50" w:rsidRDefault="00026602" w:rsidP="00026602">
      <w:pPr>
        <w:pStyle w:val="Heading2"/>
      </w:pPr>
      <w:bookmarkStart w:id="16" w:name="_Toc8299895"/>
      <w:r>
        <w:t xml:space="preserve">Subrecipient </w:t>
      </w:r>
      <w:r w:rsidR="00660F50" w:rsidRPr="00660F50">
        <w:t>Accounting System</w:t>
      </w:r>
      <w:bookmarkEnd w:id="16"/>
      <w:r w:rsidR="00660F50" w:rsidRPr="00660F50">
        <w:t xml:space="preserve"> </w:t>
      </w:r>
    </w:p>
    <w:p w:rsidR="00660F50" w:rsidRPr="00660F50" w:rsidRDefault="00026602" w:rsidP="00660F50">
      <w:pPr>
        <w:rPr>
          <w:rFonts w:cstheme="minorHAnsi"/>
          <w:sz w:val="24"/>
          <w:szCs w:val="24"/>
        </w:rPr>
      </w:pPr>
      <w:r>
        <w:rPr>
          <w:rFonts w:cstheme="minorHAnsi"/>
          <w:sz w:val="24"/>
          <w:szCs w:val="24"/>
        </w:rPr>
        <w:t>Subrecipients should maintain an accounting system that:</w:t>
      </w:r>
      <w:r w:rsidR="00660F50" w:rsidRPr="00660F50">
        <w:rPr>
          <w:rFonts w:cstheme="minorHAnsi"/>
          <w:sz w:val="24"/>
          <w:szCs w:val="24"/>
        </w:rPr>
        <w:t xml:space="preserve"> </w:t>
      </w:r>
    </w:p>
    <w:p w:rsidR="00660F50" w:rsidRPr="00026602" w:rsidRDefault="00660F50" w:rsidP="00660F50">
      <w:pPr>
        <w:pStyle w:val="ListParagraph"/>
        <w:numPr>
          <w:ilvl w:val="0"/>
          <w:numId w:val="6"/>
        </w:numPr>
        <w:rPr>
          <w:rFonts w:cstheme="minorHAnsi"/>
          <w:sz w:val="24"/>
          <w:szCs w:val="24"/>
        </w:rPr>
      </w:pPr>
      <w:r w:rsidRPr="00026602">
        <w:rPr>
          <w:rFonts w:cstheme="minorHAnsi"/>
          <w:sz w:val="24"/>
          <w:szCs w:val="24"/>
        </w:rPr>
        <w:t>Establish</w:t>
      </w:r>
      <w:r w:rsidR="008C6BEC">
        <w:rPr>
          <w:rFonts w:cstheme="minorHAnsi"/>
          <w:sz w:val="24"/>
          <w:szCs w:val="24"/>
        </w:rPr>
        <w:t>es</w:t>
      </w:r>
      <w:r w:rsidRPr="00026602">
        <w:rPr>
          <w:rFonts w:cstheme="minorHAnsi"/>
          <w:sz w:val="24"/>
          <w:szCs w:val="24"/>
        </w:rPr>
        <w:t xml:space="preserve"> a separate account for the grant project with separate accountability of receipts, obligations, expenditures, and balances for each fiscal budget period. </w:t>
      </w:r>
    </w:p>
    <w:p w:rsidR="00660F50" w:rsidRPr="00026602" w:rsidRDefault="00660F50" w:rsidP="00660F50">
      <w:pPr>
        <w:pStyle w:val="ListParagraph"/>
        <w:numPr>
          <w:ilvl w:val="0"/>
          <w:numId w:val="6"/>
        </w:numPr>
        <w:rPr>
          <w:rFonts w:cstheme="minorHAnsi"/>
          <w:sz w:val="24"/>
          <w:szCs w:val="24"/>
        </w:rPr>
      </w:pPr>
      <w:r w:rsidRPr="00026602">
        <w:rPr>
          <w:rFonts w:cstheme="minorHAnsi"/>
          <w:sz w:val="24"/>
          <w:szCs w:val="24"/>
        </w:rPr>
        <w:t>Itemize</w:t>
      </w:r>
      <w:r w:rsidR="008C6BEC">
        <w:rPr>
          <w:rFonts w:cstheme="minorHAnsi"/>
          <w:sz w:val="24"/>
          <w:szCs w:val="24"/>
        </w:rPr>
        <w:t>s</w:t>
      </w:r>
      <w:r w:rsidRPr="00026602">
        <w:rPr>
          <w:rFonts w:cstheme="minorHAnsi"/>
          <w:sz w:val="24"/>
          <w:szCs w:val="24"/>
        </w:rPr>
        <w:t xml:space="preserve"> all supporting records of grant receipts and expenditures in sufficient detail to document the exact nature of fiscal activity for each fiscal budget period. </w:t>
      </w:r>
    </w:p>
    <w:p w:rsidR="00660F50" w:rsidRPr="00026602" w:rsidRDefault="00660F50" w:rsidP="00026602">
      <w:pPr>
        <w:pStyle w:val="ListParagraph"/>
        <w:numPr>
          <w:ilvl w:val="0"/>
          <w:numId w:val="6"/>
        </w:numPr>
        <w:rPr>
          <w:rFonts w:cstheme="minorHAnsi"/>
          <w:sz w:val="24"/>
          <w:szCs w:val="24"/>
        </w:rPr>
      </w:pPr>
      <w:r w:rsidRPr="00026602">
        <w:rPr>
          <w:rFonts w:cstheme="minorHAnsi"/>
          <w:sz w:val="24"/>
          <w:szCs w:val="24"/>
        </w:rPr>
        <w:t>Provide</w:t>
      </w:r>
      <w:r w:rsidR="008C6BEC">
        <w:rPr>
          <w:rFonts w:cstheme="minorHAnsi"/>
          <w:sz w:val="24"/>
          <w:szCs w:val="24"/>
        </w:rPr>
        <w:t>s</w:t>
      </w:r>
      <w:r w:rsidRPr="00026602">
        <w:rPr>
          <w:rFonts w:cstheme="minorHAnsi"/>
          <w:sz w:val="24"/>
          <w:szCs w:val="24"/>
        </w:rPr>
        <w:t xml:space="preserve"> data and information for each expenditure with proper reference to a supporting voucher or bill properly approved. </w:t>
      </w:r>
    </w:p>
    <w:p w:rsidR="00660F50" w:rsidRPr="00026602" w:rsidRDefault="00660F50" w:rsidP="00026602">
      <w:pPr>
        <w:pStyle w:val="ListParagraph"/>
        <w:numPr>
          <w:ilvl w:val="0"/>
          <w:numId w:val="6"/>
        </w:numPr>
        <w:rPr>
          <w:rFonts w:cstheme="minorHAnsi"/>
          <w:sz w:val="24"/>
          <w:szCs w:val="24"/>
        </w:rPr>
      </w:pPr>
      <w:r w:rsidRPr="00026602">
        <w:rPr>
          <w:rFonts w:cstheme="minorHAnsi"/>
          <w:sz w:val="24"/>
          <w:szCs w:val="24"/>
        </w:rPr>
        <w:t>Maintain</w:t>
      </w:r>
      <w:r w:rsidR="008C6BEC">
        <w:rPr>
          <w:rFonts w:cstheme="minorHAnsi"/>
          <w:sz w:val="24"/>
          <w:szCs w:val="24"/>
        </w:rPr>
        <w:t>s</w:t>
      </w:r>
      <w:r w:rsidRPr="00026602">
        <w:rPr>
          <w:rFonts w:cstheme="minorHAnsi"/>
          <w:sz w:val="24"/>
          <w:szCs w:val="24"/>
        </w:rPr>
        <w:t xml:space="preserve"> payroll authorizations and vouchers. </w:t>
      </w:r>
    </w:p>
    <w:p w:rsidR="00660F50" w:rsidRPr="00026602" w:rsidRDefault="00660F50" w:rsidP="00026602">
      <w:pPr>
        <w:pStyle w:val="ListParagraph"/>
        <w:numPr>
          <w:ilvl w:val="0"/>
          <w:numId w:val="6"/>
        </w:numPr>
        <w:rPr>
          <w:rFonts w:cstheme="minorHAnsi"/>
          <w:sz w:val="24"/>
          <w:szCs w:val="24"/>
        </w:rPr>
      </w:pPr>
      <w:r w:rsidRPr="00026602">
        <w:rPr>
          <w:rFonts w:cstheme="minorHAnsi"/>
          <w:sz w:val="24"/>
          <w:szCs w:val="24"/>
        </w:rPr>
        <w:t>Maintain</w:t>
      </w:r>
      <w:r w:rsidR="008C6BEC">
        <w:rPr>
          <w:rFonts w:cstheme="minorHAnsi"/>
          <w:sz w:val="24"/>
          <w:szCs w:val="24"/>
        </w:rPr>
        <w:t>s</w:t>
      </w:r>
      <w:r w:rsidRPr="00026602">
        <w:rPr>
          <w:rFonts w:cstheme="minorHAnsi"/>
          <w:sz w:val="24"/>
          <w:szCs w:val="24"/>
        </w:rPr>
        <w:t xml:space="preserve"> a time-reporting system for personnel charged to grant. </w:t>
      </w:r>
    </w:p>
    <w:p w:rsidR="00660F50" w:rsidRPr="00026602" w:rsidRDefault="00660F50" w:rsidP="00026602">
      <w:pPr>
        <w:pStyle w:val="ListParagraph"/>
        <w:numPr>
          <w:ilvl w:val="0"/>
          <w:numId w:val="6"/>
        </w:numPr>
        <w:rPr>
          <w:rFonts w:cstheme="minorHAnsi"/>
          <w:sz w:val="24"/>
          <w:szCs w:val="24"/>
        </w:rPr>
      </w:pPr>
      <w:r w:rsidRPr="00026602">
        <w:rPr>
          <w:rFonts w:cstheme="minorHAnsi"/>
          <w:sz w:val="24"/>
          <w:szCs w:val="24"/>
        </w:rPr>
        <w:t>Maintain</w:t>
      </w:r>
      <w:r w:rsidR="008C6BEC">
        <w:rPr>
          <w:rFonts w:cstheme="minorHAnsi"/>
          <w:sz w:val="24"/>
          <w:szCs w:val="24"/>
        </w:rPr>
        <w:t>s</w:t>
      </w:r>
      <w:r w:rsidRPr="00026602">
        <w:rPr>
          <w:rFonts w:cstheme="minorHAnsi"/>
          <w:sz w:val="24"/>
          <w:szCs w:val="24"/>
        </w:rPr>
        <w:t xml:space="preserve"> adequate records supporting charges for fringe benefits. </w:t>
      </w:r>
    </w:p>
    <w:p w:rsidR="00660F50" w:rsidRPr="00026602" w:rsidRDefault="00660F50" w:rsidP="00026602">
      <w:pPr>
        <w:pStyle w:val="ListParagraph"/>
        <w:numPr>
          <w:ilvl w:val="0"/>
          <w:numId w:val="6"/>
        </w:numPr>
        <w:rPr>
          <w:rFonts w:cstheme="minorHAnsi"/>
          <w:sz w:val="24"/>
          <w:szCs w:val="24"/>
        </w:rPr>
      </w:pPr>
      <w:r w:rsidRPr="00026602">
        <w:rPr>
          <w:rFonts w:cstheme="minorHAnsi"/>
          <w:sz w:val="24"/>
          <w:szCs w:val="24"/>
        </w:rPr>
        <w:t>Maintain</w:t>
      </w:r>
      <w:r w:rsidR="008C6BEC">
        <w:rPr>
          <w:rFonts w:cstheme="minorHAnsi"/>
          <w:sz w:val="24"/>
          <w:szCs w:val="24"/>
        </w:rPr>
        <w:t>s</w:t>
      </w:r>
      <w:r w:rsidRPr="00026602">
        <w:rPr>
          <w:rFonts w:cstheme="minorHAnsi"/>
          <w:sz w:val="24"/>
          <w:szCs w:val="24"/>
        </w:rPr>
        <w:t xml:space="preserve"> adequate records supporting charges for equipment. </w:t>
      </w:r>
    </w:p>
    <w:p w:rsidR="00660F50" w:rsidRPr="00026602" w:rsidRDefault="00660F50" w:rsidP="00026602">
      <w:pPr>
        <w:pStyle w:val="ListParagraph"/>
        <w:numPr>
          <w:ilvl w:val="0"/>
          <w:numId w:val="6"/>
        </w:numPr>
        <w:rPr>
          <w:rFonts w:cstheme="minorHAnsi"/>
          <w:sz w:val="24"/>
          <w:szCs w:val="24"/>
        </w:rPr>
      </w:pPr>
      <w:r w:rsidRPr="00026602">
        <w:rPr>
          <w:rFonts w:cstheme="minorHAnsi"/>
          <w:sz w:val="24"/>
          <w:szCs w:val="24"/>
        </w:rPr>
        <w:t>Project accounting records should also reflect program income received, if any, through fees, contributions, or payments by third party.  Maintain</w:t>
      </w:r>
      <w:r w:rsidR="008C6BEC">
        <w:rPr>
          <w:rFonts w:cstheme="minorHAnsi"/>
          <w:sz w:val="24"/>
          <w:szCs w:val="24"/>
        </w:rPr>
        <w:t>s</w:t>
      </w:r>
      <w:r w:rsidRPr="00026602">
        <w:rPr>
          <w:rFonts w:cstheme="minorHAnsi"/>
          <w:sz w:val="24"/>
          <w:szCs w:val="24"/>
        </w:rPr>
        <w:t xml:space="preserve"> supporting records of income received, expended, and balances for each fiscal budget period. </w:t>
      </w:r>
    </w:p>
    <w:p w:rsidR="00660F50" w:rsidRPr="00660F50" w:rsidRDefault="00660F50" w:rsidP="00660F50">
      <w:pPr>
        <w:rPr>
          <w:rFonts w:cstheme="minorHAnsi"/>
          <w:sz w:val="24"/>
          <w:szCs w:val="24"/>
        </w:rPr>
      </w:pPr>
      <w:r w:rsidRPr="00660F50">
        <w:rPr>
          <w:rFonts w:cstheme="minorHAnsi"/>
          <w:sz w:val="24"/>
          <w:szCs w:val="24"/>
        </w:rPr>
        <w:t xml:space="preserve"> </w:t>
      </w:r>
    </w:p>
    <w:p w:rsidR="00660F50" w:rsidRPr="00660F50" w:rsidRDefault="00660F50" w:rsidP="00CD45A7">
      <w:pPr>
        <w:pStyle w:val="Heading2"/>
      </w:pPr>
      <w:bookmarkStart w:id="17" w:name="_Toc8299896"/>
      <w:r w:rsidRPr="00660F50">
        <w:lastRenderedPageBreak/>
        <w:t>Audit</w:t>
      </w:r>
      <w:bookmarkEnd w:id="17"/>
      <w:r w:rsidRPr="00660F50">
        <w:t xml:space="preserve"> </w:t>
      </w:r>
    </w:p>
    <w:p w:rsidR="00660F50" w:rsidRPr="00660F50" w:rsidRDefault="00E25BD3" w:rsidP="00660F50">
      <w:pPr>
        <w:rPr>
          <w:rFonts w:cstheme="minorHAnsi"/>
          <w:sz w:val="24"/>
          <w:szCs w:val="24"/>
        </w:rPr>
      </w:pPr>
      <w:r>
        <w:rPr>
          <w:rFonts w:cstheme="minorHAnsi"/>
          <w:sz w:val="24"/>
          <w:szCs w:val="24"/>
        </w:rPr>
        <w:tab/>
      </w:r>
      <w:r w:rsidR="00660F50" w:rsidRPr="00660F50">
        <w:rPr>
          <w:rFonts w:cstheme="minorHAnsi"/>
          <w:sz w:val="24"/>
          <w:szCs w:val="24"/>
        </w:rPr>
        <w:t xml:space="preserve"> The DOJ Grants Financial Guide and the Uniform Guidance 2 CFR </w:t>
      </w:r>
      <w:r w:rsidR="004A3892" w:rsidRPr="005A6A4E">
        <w:rPr>
          <w:rFonts w:cstheme="minorHAnsi"/>
          <w:sz w:val="24"/>
          <w:szCs w:val="24"/>
        </w:rPr>
        <w:t>§</w:t>
      </w:r>
      <w:r w:rsidR="004A3892">
        <w:rPr>
          <w:rFonts w:cstheme="minorHAnsi"/>
          <w:sz w:val="24"/>
          <w:szCs w:val="24"/>
        </w:rPr>
        <w:t xml:space="preserve"> </w:t>
      </w:r>
      <w:r w:rsidR="00660F50" w:rsidRPr="00660F50">
        <w:rPr>
          <w:rFonts w:cstheme="minorHAnsi"/>
          <w:sz w:val="24"/>
          <w:szCs w:val="24"/>
        </w:rPr>
        <w:t xml:space="preserve">200 state that if a </w:t>
      </w:r>
      <w:r w:rsidR="008C6BEC">
        <w:rPr>
          <w:rFonts w:cstheme="minorHAnsi"/>
          <w:sz w:val="24"/>
          <w:szCs w:val="24"/>
        </w:rPr>
        <w:t>s</w:t>
      </w:r>
      <w:r w:rsidR="00437089">
        <w:rPr>
          <w:rFonts w:cstheme="minorHAnsi"/>
          <w:sz w:val="24"/>
          <w:szCs w:val="24"/>
        </w:rPr>
        <w:t>ubrecipient</w:t>
      </w:r>
      <w:r w:rsidR="00660F50" w:rsidRPr="00660F50">
        <w:rPr>
          <w:rFonts w:cstheme="minorHAnsi"/>
          <w:sz w:val="24"/>
          <w:szCs w:val="24"/>
        </w:rPr>
        <w:t xml:space="preserve"> is a non-</w:t>
      </w:r>
      <w:r w:rsidR="008C6BEC">
        <w:rPr>
          <w:rFonts w:cstheme="minorHAnsi"/>
          <w:sz w:val="24"/>
          <w:szCs w:val="24"/>
        </w:rPr>
        <w:t>f</w:t>
      </w:r>
      <w:r w:rsidR="00660F50" w:rsidRPr="00660F50">
        <w:rPr>
          <w:rFonts w:cstheme="minorHAnsi"/>
          <w:sz w:val="24"/>
          <w:szCs w:val="24"/>
        </w:rPr>
        <w:t xml:space="preserve">ederal entity that expended $750,000 or more in </w:t>
      </w:r>
      <w:r w:rsidR="008C6BEC">
        <w:rPr>
          <w:rFonts w:cstheme="minorHAnsi"/>
          <w:sz w:val="24"/>
          <w:szCs w:val="24"/>
        </w:rPr>
        <w:t>f</w:t>
      </w:r>
      <w:r w:rsidR="00660F50" w:rsidRPr="00660F50">
        <w:rPr>
          <w:rFonts w:cstheme="minorHAnsi"/>
          <w:sz w:val="24"/>
          <w:szCs w:val="24"/>
        </w:rPr>
        <w:t xml:space="preserve">ederal funds during </w:t>
      </w:r>
      <w:r w:rsidR="008C6BEC">
        <w:rPr>
          <w:rFonts w:cstheme="minorHAnsi"/>
          <w:sz w:val="24"/>
          <w:szCs w:val="24"/>
        </w:rPr>
        <w:t>s</w:t>
      </w:r>
      <w:r w:rsidR="00437089">
        <w:rPr>
          <w:rFonts w:cstheme="minorHAnsi"/>
          <w:sz w:val="24"/>
          <w:szCs w:val="24"/>
        </w:rPr>
        <w:t>ubrecipient</w:t>
      </w:r>
      <w:r w:rsidR="00660F50" w:rsidRPr="00660F50">
        <w:rPr>
          <w:rFonts w:cstheme="minorHAnsi"/>
          <w:sz w:val="24"/>
          <w:szCs w:val="24"/>
        </w:rPr>
        <w:t xml:space="preserve"> agency’s fiscal year, </w:t>
      </w:r>
      <w:r w:rsidR="00437089">
        <w:rPr>
          <w:rFonts w:cstheme="minorHAnsi"/>
          <w:sz w:val="24"/>
          <w:szCs w:val="24"/>
        </w:rPr>
        <w:t>Subrecipient</w:t>
      </w:r>
      <w:r w:rsidR="00660F50" w:rsidRPr="00660F50">
        <w:rPr>
          <w:rFonts w:cstheme="minorHAnsi"/>
          <w:sz w:val="24"/>
          <w:szCs w:val="24"/>
        </w:rPr>
        <w:t xml:space="preserve"> is required to arrange for a single organization-wide audit conducted in accordance with the provisions of Title 2 CFR Subpart F.  If applicable, </w:t>
      </w:r>
      <w:r w:rsidR="00437089">
        <w:rPr>
          <w:rFonts w:cstheme="minorHAnsi"/>
          <w:sz w:val="24"/>
          <w:szCs w:val="24"/>
        </w:rPr>
        <w:t>Subrecipient</w:t>
      </w:r>
      <w:r w:rsidR="00660F50" w:rsidRPr="00660F50">
        <w:rPr>
          <w:rFonts w:cstheme="minorHAnsi"/>
          <w:sz w:val="24"/>
          <w:szCs w:val="24"/>
        </w:rPr>
        <w:t xml:space="preserve"> shall submit a copy of their audit report to the Federal Audit Clearinghouse and to </w:t>
      </w:r>
      <w:r>
        <w:rPr>
          <w:rFonts w:cstheme="minorHAnsi"/>
          <w:sz w:val="24"/>
          <w:szCs w:val="24"/>
        </w:rPr>
        <w:t>the PSGAO</w:t>
      </w:r>
      <w:r w:rsidR="00660F50" w:rsidRPr="00660F50">
        <w:rPr>
          <w:rFonts w:cstheme="minorHAnsi"/>
          <w:sz w:val="24"/>
          <w:szCs w:val="24"/>
        </w:rPr>
        <w:t xml:space="preserve">. </w:t>
      </w:r>
    </w:p>
    <w:p w:rsidR="00660F50" w:rsidRPr="00660F50" w:rsidRDefault="00660F50" w:rsidP="00660F50">
      <w:pPr>
        <w:rPr>
          <w:rFonts w:cstheme="minorHAnsi"/>
          <w:sz w:val="24"/>
          <w:szCs w:val="24"/>
        </w:rPr>
      </w:pPr>
      <w:r w:rsidRPr="00660F50">
        <w:rPr>
          <w:rFonts w:cstheme="minorHAnsi"/>
          <w:sz w:val="24"/>
          <w:szCs w:val="24"/>
        </w:rPr>
        <w:t xml:space="preserve"> </w:t>
      </w:r>
      <w:r w:rsidR="00E25BD3">
        <w:rPr>
          <w:rFonts w:cstheme="minorHAnsi"/>
          <w:sz w:val="24"/>
          <w:szCs w:val="24"/>
        </w:rPr>
        <w:tab/>
      </w:r>
      <w:r w:rsidR="00437089">
        <w:rPr>
          <w:rFonts w:cstheme="minorHAnsi"/>
          <w:sz w:val="24"/>
          <w:szCs w:val="24"/>
        </w:rPr>
        <w:t>Subrecipient</w:t>
      </w:r>
      <w:r w:rsidRPr="00660F50">
        <w:rPr>
          <w:rFonts w:cstheme="minorHAnsi"/>
          <w:sz w:val="24"/>
          <w:szCs w:val="24"/>
        </w:rPr>
        <w:t xml:space="preserve"> shall comply with the applicable audit requirements of 2 CFR </w:t>
      </w:r>
      <w:r w:rsidR="00E25BD3" w:rsidRPr="005A6A4E">
        <w:rPr>
          <w:rFonts w:cstheme="minorHAnsi"/>
          <w:sz w:val="24"/>
          <w:szCs w:val="24"/>
        </w:rPr>
        <w:t>§</w:t>
      </w:r>
      <w:r w:rsidR="00E25BD3">
        <w:rPr>
          <w:rFonts w:cstheme="minorHAnsi"/>
          <w:sz w:val="24"/>
          <w:szCs w:val="24"/>
        </w:rPr>
        <w:t xml:space="preserve"> </w:t>
      </w:r>
      <w:r w:rsidRPr="00660F50">
        <w:rPr>
          <w:rFonts w:cstheme="minorHAnsi"/>
          <w:sz w:val="24"/>
          <w:szCs w:val="24"/>
        </w:rPr>
        <w:t xml:space="preserve">200, and further understands that funds may be withheld, or other related requirements may be imposed, if outstanding audit issues (if any) are not satisfactorily and promptly addressed as further described in the audit requirements and current edition of the DOJ Grants Financial Guide. </w:t>
      </w:r>
      <w:r w:rsidR="00E25BD3">
        <w:rPr>
          <w:rFonts w:cstheme="minorHAnsi"/>
          <w:sz w:val="24"/>
          <w:szCs w:val="24"/>
        </w:rPr>
        <w:t xml:space="preserve"> </w:t>
      </w:r>
      <w:r w:rsidRPr="00660F50">
        <w:rPr>
          <w:rFonts w:cstheme="minorHAnsi"/>
          <w:sz w:val="24"/>
          <w:szCs w:val="24"/>
        </w:rPr>
        <w:t xml:space="preserve">Failure to comply with audit requirements may result in the withholding of new awards and/or withholding of funds. </w:t>
      </w:r>
    </w:p>
    <w:p w:rsidR="00660F50" w:rsidRPr="00660F50" w:rsidRDefault="00660F50" w:rsidP="007955FA">
      <w:pPr>
        <w:spacing w:line="240" w:lineRule="auto"/>
        <w:rPr>
          <w:rFonts w:cstheme="minorHAnsi"/>
          <w:sz w:val="24"/>
          <w:szCs w:val="24"/>
        </w:rPr>
      </w:pPr>
      <w:r w:rsidRPr="00660F50">
        <w:rPr>
          <w:rFonts w:cstheme="minorHAnsi"/>
          <w:sz w:val="24"/>
          <w:szCs w:val="24"/>
        </w:rPr>
        <w:t xml:space="preserve"> </w:t>
      </w:r>
    </w:p>
    <w:p w:rsidR="00E25BD3" w:rsidRDefault="00660F50" w:rsidP="00E25BD3">
      <w:pPr>
        <w:pStyle w:val="Heading2"/>
      </w:pPr>
      <w:bookmarkStart w:id="18" w:name="_Toc8299897"/>
      <w:r w:rsidRPr="00660F50">
        <w:t>Unencumbered/Unexpended Funds</w:t>
      </w:r>
      <w:bookmarkEnd w:id="18"/>
      <w:r w:rsidRPr="00660F50">
        <w:t xml:space="preserve"> </w:t>
      </w:r>
    </w:p>
    <w:p w:rsidR="00660F50" w:rsidRPr="00E25BD3" w:rsidRDefault="00E25BD3" w:rsidP="00E25BD3">
      <w:pPr>
        <w:rPr>
          <w:rFonts w:cstheme="majorBidi"/>
          <w:sz w:val="24"/>
          <w:szCs w:val="24"/>
        </w:rPr>
      </w:pPr>
      <w:r>
        <w:rPr>
          <w:sz w:val="24"/>
          <w:szCs w:val="24"/>
        </w:rPr>
        <w:tab/>
      </w:r>
      <w:r w:rsidR="00660F50" w:rsidRPr="00E25BD3">
        <w:rPr>
          <w:sz w:val="24"/>
          <w:szCs w:val="24"/>
        </w:rPr>
        <w:t xml:space="preserve">Funds provided to </w:t>
      </w:r>
      <w:r w:rsidR="008C6BEC">
        <w:rPr>
          <w:sz w:val="24"/>
          <w:szCs w:val="24"/>
        </w:rPr>
        <w:t>s</w:t>
      </w:r>
      <w:r w:rsidR="00437089">
        <w:rPr>
          <w:sz w:val="24"/>
          <w:szCs w:val="24"/>
        </w:rPr>
        <w:t>ubrecipient</w:t>
      </w:r>
      <w:r w:rsidR="00660F50" w:rsidRPr="00E25BD3">
        <w:rPr>
          <w:sz w:val="24"/>
          <w:szCs w:val="24"/>
        </w:rPr>
        <w:t xml:space="preserve"> that are unencumbered on the date the project terminates shall be returned to </w:t>
      </w:r>
      <w:r>
        <w:rPr>
          <w:sz w:val="24"/>
          <w:szCs w:val="24"/>
        </w:rPr>
        <w:t>the PSGAO</w:t>
      </w:r>
      <w:r w:rsidR="00660F50" w:rsidRPr="00E25BD3">
        <w:rPr>
          <w:sz w:val="24"/>
          <w:szCs w:val="24"/>
        </w:rPr>
        <w:t xml:space="preserve">. Funds that are encumbered but not disbursed within 60 days after the project terminates shall be returned to </w:t>
      </w:r>
      <w:r>
        <w:rPr>
          <w:sz w:val="24"/>
          <w:szCs w:val="24"/>
        </w:rPr>
        <w:t>the PSGAO</w:t>
      </w:r>
      <w:r w:rsidR="00660F50" w:rsidRPr="00E25BD3">
        <w:rPr>
          <w:sz w:val="24"/>
          <w:szCs w:val="24"/>
        </w:rPr>
        <w:t xml:space="preserve">. </w:t>
      </w:r>
    </w:p>
    <w:p w:rsidR="00660F50" w:rsidRPr="00660F50" w:rsidRDefault="00660F50" w:rsidP="007955FA">
      <w:pPr>
        <w:spacing w:line="240" w:lineRule="auto"/>
        <w:rPr>
          <w:rFonts w:cstheme="minorHAnsi"/>
          <w:sz w:val="24"/>
          <w:szCs w:val="24"/>
        </w:rPr>
      </w:pPr>
      <w:r w:rsidRPr="00660F50">
        <w:rPr>
          <w:rFonts w:cstheme="minorHAnsi"/>
          <w:sz w:val="24"/>
          <w:szCs w:val="24"/>
        </w:rPr>
        <w:t xml:space="preserve"> </w:t>
      </w:r>
    </w:p>
    <w:p w:rsidR="00660F50" w:rsidRPr="009A20C4" w:rsidRDefault="00660F50" w:rsidP="009A20C4">
      <w:pPr>
        <w:pStyle w:val="Heading2"/>
      </w:pPr>
      <w:bookmarkStart w:id="19" w:name="_Toc8299898"/>
      <w:r w:rsidRPr="009A20C4">
        <w:t>Loss, Damage, Theft of Equipment</w:t>
      </w:r>
      <w:bookmarkEnd w:id="19"/>
      <w:r w:rsidRPr="009A20C4">
        <w:t xml:space="preserve"> </w:t>
      </w:r>
    </w:p>
    <w:p w:rsidR="00660F50" w:rsidRDefault="00E25BD3" w:rsidP="00660F50">
      <w:pPr>
        <w:rPr>
          <w:rFonts w:cstheme="minorHAnsi"/>
          <w:sz w:val="24"/>
          <w:szCs w:val="24"/>
        </w:rPr>
      </w:pPr>
      <w:r>
        <w:rPr>
          <w:rFonts w:cstheme="minorHAnsi"/>
          <w:sz w:val="24"/>
          <w:szCs w:val="24"/>
        </w:rPr>
        <w:tab/>
      </w:r>
      <w:r w:rsidR="00437089">
        <w:rPr>
          <w:rFonts w:cstheme="minorHAnsi"/>
          <w:sz w:val="24"/>
          <w:szCs w:val="24"/>
        </w:rPr>
        <w:t>Subrecipient</w:t>
      </w:r>
      <w:r w:rsidR="00660F50" w:rsidRPr="00660F50">
        <w:rPr>
          <w:rFonts w:cstheme="minorHAnsi"/>
          <w:sz w:val="24"/>
          <w:szCs w:val="24"/>
        </w:rPr>
        <w:t xml:space="preserve"> is responsible for replacing or repairing equipment that is willfully or negligently lost, stolen, damaged, or destroyed.  Any loss, damage, or theft of the property must be investigated and fully documented and made part of the official project records. </w:t>
      </w:r>
      <w:r w:rsidR="00437089">
        <w:rPr>
          <w:rFonts w:cstheme="minorHAnsi"/>
          <w:sz w:val="24"/>
          <w:szCs w:val="24"/>
        </w:rPr>
        <w:t>Subrecipient</w:t>
      </w:r>
      <w:r w:rsidR="00660F50" w:rsidRPr="00660F50">
        <w:rPr>
          <w:rFonts w:cstheme="minorHAnsi"/>
          <w:sz w:val="24"/>
          <w:szCs w:val="24"/>
        </w:rPr>
        <w:t xml:space="preserve"> cannot use Federal funds to replace or repair equipment that is willfully or negligently lost, stolen, damaged, or destroyed.</w:t>
      </w:r>
    </w:p>
    <w:p w:rsidR="007955FA" w:rsidRDefault="007955FA" w:rsidP="00660F50">
      <w:pPr>
        <w:rPr>
          <w:rFonts w:cstheme="minorHAnsi"/>
          <w:sz w:val="24"/>
          <w:szCs w:val="24"/>
        </w:rPr>
      </w:pPr>
    </w:p>
    <w:p w:rsidR="00D91DB6" w:rsidRDefault="00895430" w:rsidP="00D91DB6">
      <w:pPr>
        <w:pStyle w:val="Heading1"/>
        <w:jc w:val="center"/>
      </w:pPr>
      <w:bookmarkStart w:id="20" w:name="_Toc8299899"/>
      <w:r>
        <w:t>CONFERENCES</w:t>
      </w:r>
      <w:bookmarkEnd w:id="20"/>
      <w:r>
        <w:t xml:space="preserve"> </w:t>
      </w:r>
    </w:p>
    <w:p w:rsidR="00E34C64" w:rsidRPr="00E34C64" w:rsidRDefault="00331B81" w:rsidP="00E34C64">
      <w:pPr>
        <w:rPr>
          <w:sz w:val="24"/>
        </w:rPr>
      </w:pPr>
      <w:r>
        <w:rPr>
          <w:sz w:val="24"/>
        </w:rPr>
        <w:tab/>
      </w:r>
      <w:r w:rsidR="00E34C64">
        <w:rPr>
          <w:sz w:val="24"/>
        </w:rPr>
        <w:t>The DOJ defines c</w:t>
      </w:r>
      <w:r w:rsidR="00E34C64" w:rsidRPr="00E34C64">
        <w:rPr>
          <w:sz w:val="24"/>
        </w:rPr>
        <w:t>onference</w:t>
      </w:r>
      <w:r w:rsidR="00E34C64">
        <w:rPr>
          <w:sz w:val="24"/>
        </w:rPr>
        <w:t>s</w:t>
      </w:r>
      <w:r w:rsidR="00E34C64" w:rsidRPr="00E34C64">
        <w:rPr>
          <w:sz w:val="24"/>
        </w:rPr>
        <w:t xml:space="preserve"> defined broadly and includes meetings, retreats, seminars, symposia, and training activities.</w:t>
      </w:r>
      <w:r w:rsidR="00E34C64">
        <w:rPr>
          <w:sz w:val="24"/>
        </w:rPr>
        <w:t xml:space="preserve">  </w:t>
      </w:r>
      <w:r w:rsidR="00E34C64" w:rsidRPr="00E34C64">
        <w:rPr>
          <w:sz w:val="24"/>
        </w:rPr>
        <w:t>A conference typically is a prearranged formal event with at least some of the following characteristics:</w:t>
      </w:r>
      <w:r w:rsidR="00E34C64">
        <w:rPr>
          <w:sz w:val="24"/>
        </w:rPr>
        <w:t xml:space="preserve"> </w:t>
      </w:r>
      <w:r w:rsidR="00E34C64" w:rsidRPr="00E34C64">
        <w:rPr>
          <w:sz w:val="24"/>
        </w:rPr>
        <w:t>designated participants and/or registration; a published substantive agenda; and scheduled speakers or</w:t>
      </w:r>
      <w:r w:rsidR="00114054">
        <w:rPr>
          <w:sz w:val="24"/>
        </w:rPr>
        <w:t xml:space="preserve"> </w:t>
      </w:r>
      <w:r w:rsidR="00E34C64" w:rsidRPr="00E34C64">
        <w:rPr>
          <w:sz w:val="24"/>
        </w:rPr>
        <w:t>discussion panels on a particular topic.</w:t>
      </w:r>
      <w:r w:rsidR="00114054">
        <w:rPr>
          <w:sz w:val="24"/>
        </w:rPr>
        <w:t xml:space="preserve">  </w:t>
      </w:r>
      <w:r w:rsidR="00E34C64" w:rsidRPr="00E34C64">
        <w:rPr>
          <w:sz w:val="24"/>
        </w:rPr>
        <w:t>A conference typically is not a routine operational meeting, a law enforcement operation or prosecutorial</w:t>
      </w:r>
      <w:r w:rsidR="00114054">
        <w:rPr>
          <w:sz w:val="24"/>
        </w:rPr>
        <w:t xml:space="preserve"> </w:t>
      </w:r>
      <w:r w:rsidR="00E34C64" w:rsidRPr="00E34C64">
        <w:rPr>
          <w:sz w:val="24"/>
        </w:rPr>
        <w:t>activity in connection with a specific case or criminal activity, a testing activity, or a technical assistance visit.</w:t>
      </w:r>
    </w:p>
    <w:p w:rsidR="00331B81" w:rsidRDefault="00E34C64" w:rsidP="0056697B">
      <w:pPr>
        <w:rPr>
          <w:rFonts w:cstheme="minorHAnsi"/>
          <w:sz w:val="24"/>
          <w:szCs w:val="24"/>
        </w:rPr>
      </w:pPr>
      <w:r>
        <w:rPr>
          <w:sz w:val="24"/>
        </w:rPr>
        <w:tab/>
      </w:r>
      <w:r w:rsidR="0056697B" w:rsidRPr="00D91DB6">
        <w:rPr>
          <w:sz w:val="24"/>
        </w:rPr>
        <w:t xml:space="preserve">Reasonable conference-related activity costs are allowable uses of funds as long as the grant budget has been approved by </w:t>
      </w:r>
      <w:r w:rsidR="004C4620" w:rsidRPr="00D91DB6">
        <w:rPr>
          <w:sz w:val="24"/>
        </w:rPr>
        <w:t>the PSGAO</w:t>
      </w:r>
      <w:r w:rsidR="0056697B" w:rsidRPr="00D91DB6">
        <w:rPr>
          <w:sz w:val="24"/>
        </w:rPr>
        <w:t xml:space="preserve">. </w:t>
      </w:r>
      <w:r w:rsidR="00437089">
        <w:rPr>
          <w:rFonts w:cstheme="minorHAnsi"/>
          <w:sz w:val="24"/>
          <w:szCs w:val="24"/>
        </w:rPr>
        <w:t>Subrecipient</w:t>
      </w:r>
      <w:r w:rsidR="0056697B" w:rsidRPr="0056697B">
        <w:rPr>
          <w:rFonts w:cstheme="minorHAnsi"/>
          <w:sz w:val="24"/>
          <w:szCs w:val="24"/>
        </w:rPr>
        <w:t xml:space="preserve"> shall comply with all applicable </w:t>
      </w:r>
      <w:r w:rsidR="0056697B" w:rsidRPr="0056697B">
        <w:rPr>
          <w:rFonts w:cstheme="minorHAnsi"/>
          <w:sz w:val="24"/>
          <w:szCs w:val="24"/>
        </w:rPr>
        <w:lastRenderedPageBreak/>
        <w:t xml:space="preserve">laws, regulations, policies, and guidance (including specific cost limits, prior approval and reporting requirements, where applicable) governing the use of </w:t>
      </w:r>
      <w:r w:rsidR="008C6BEC">
        <w:rPr>
          <w:rFonts w:cstheme="minorHAnsi"/>
          <w:sz w:val="24"/>
          <w:szCs w:val="24"/>
        </w:rPr>
        <w:t>f</w:t>
      </w:r>
      <w:r w:rsidR="0056697B" w:rsidRPr="0056697B">
        <w:rPr>
          <w:rFonts w:cstheme="minorHAnsi"/>
          <w:sz w:val="24"/>
          <w:szCs w:val="24"/>
        </w:rPr>
        <w:t xml:space="preserve">ederal funds for expenses related to conferences, meetings, training, and other events.  </w:t>
      </w:r>
    </w:p>
    <w:p w:rsidR="0056697B" w:rsidRDefault="00331B81" w:rsidP="0056697B">
      <w:pPr>
        <w:rPr>
          <w:rFonts w:cstheme="minorHAnsi"/>
          <w:sz w:val="24"/>
          <w:szCs w:val="24"/>
        </w:rPr>
      </w:pPr>
      <w:r>
        <w:rPr>
          <w:rFonts w:cstheme="minorHAnsi"/>
          <w:sz w:val="24"/>
          <w:szCs w:val="24"/>
        </w:rPr>
        <w:tab/>
      </w:r>
      <w:r w:rsidR="00437089">
        <w:rPr>
          <w:rFonts w:cstheme="minorHAnsi"/>
          <w:sz w:val="24"/>
          <w:szCs w:val="24"/>
        </w:rPr>
        <w:t>Subrecipient</w:t>
      </w:r>
      <w:r w:rsidR="0056697B" w:rsidRPr="0056697B">
        <w:rPr>
          <w:rFonts w:cstheme="minorHAnsi"/>
          <w:sz w:val="24"/>
          <w:szCs w:val="24"/>
        </w:rPr>
        <w:t xml:space="preserve"> should become familiar with the Policy and Guidance for Conference Costs applicable to the VOCA grant found in the DOJ Grants Financial Guide. OJP periodically revises the policy and guidance for conference costs, therefore, </w:t>
      </w:r>
      <w:r w:rsidR="00437089">
        <w:rPr>
          <w:rFonts w:cstheme="minorHAnsi"/>
          <w:sz w:val="24"/>
          <w:szCs w:val="24"/>
        </w:rPr>
        <w:t>Subrecipient</w:t>
      </w:r>
      <w:r w:rsidR="0056697B" w:rsidRPr="0056697B">
        <w:rPr>
          <w:rFonts w:cstheme="minorHAnsi"/>
          <w:sz w:val="24"/>
          <w:szCs w:val="24"/>
        </w:rPr>
        <w:t xml:space="preserve"> must comply with the provisions of the most current policy/guidance.  Failure to comply with these conditions may result in the denial, reduction, or termination of funding. </w:t>
      </w:r>
    </w:p>
    <w:p w:rsidR="0056697B" w:rsidRPr="0056697B" w:rsidRDefault="00114054" w:rsidP="0056697B">
      <w:pPr>
        <w:rPr>
          <w:rFonts w:cstheme="minorHAnsi"/>
          <w:sz w:val="24"/>
          <w:szCs w:val="24"/>
        </w:rPr>
      </w:pPr>
      <w:r>
        <w:rPr>
          <w:rFonts w:cstheme="minorHAnsi"/>
          <w:sz w:val="24"/>
          <w:szCs w:val="24"/>
        </w:rPr>
        <w:tab/>
      </w:r>
      <w:r w:rsidR="00331B81">
        <w:rPr>
          <w:rFonts w:cstheme="minorHAnsi"/>
          <w:sz w:val="24"/>
          <w:szCs w:val="24"/>
        </w:rPr>
        <w:tab/>
      </w:r>
      <w:r w:rsidR="0056697B" w:rsidRPr="0056697B">
        <w:rPr>
          <w:rFonts w:cstheme="minorHAnsi"/>
          <w:sz w:val="24"/>
          <w:szCs w:val="24"/>
        </w:rPr>
        <w:t xml:space="preserve"> </w:t>
      </w:r>
    </w:p>
    <w:p w:rsidR="0056697B" w:rsidRPr="0056697B" w:rsidRDefault="0056697B" w:rsidP="0056697B">
      <w:pPr>
        <w:pStyle w:val="Heading2"/>
      </w:pPr>
      <w:bookmarkStart w:id="21" w:name="_Toc8299900"/>
      <w:r w:rsidRPr="0056697B">
        <w:t>Trinkets</w:t>
      </w:r>
      <w:bookmarkEnd w:id="21"/>
    </w:p>
    <w:p w:rsidR="0056697B" w:rsidRPr="0056697B" w:rsidRDefault="00331B81" w:rsidP="0056697B">
      <w:pPr>
        <w:rPr>
          <w:rFonts w:cstheme="minorHAnsi"/>
          <w:sz w:val="24"/>
          <w:szCs w:val="24"/>
        </w:rPr>
      </w:pPr>
      <w:r>
        <w:rPr>
          <w:rFonts w:cstheme="minorHAnsi"/>
          <w:sz w:val="24"/>
          <w:szCs w:val="24"/>
        </w:rPr>
        <w:tab/>
      </w:r>
      <w:r w:rsidR="0056697B" w:rsidRPr="0056697B">
        <w:rPr>
          <w:rFonts w:cstheme="minorHAnsi"/>
          <w:sz w:val="24"/>
          <w:szCs w:val="24"/>
        </w:rPr>
        <w:t>Trinkets (items such as hats, mugs, portfolios, t-shirts, coins, gift bags, etc., regardless of whether they include the conference name or OJP/DOJ log</w:t>
      </w:r>
      <w:r w:rsidR="00EC587D">
        <w:rPr>
          <w:rFonts w:cstheme="minorHAnsi"/>
          <w:sz w:val="24"/>
          <w:szCs w:val="24"/>
        </w:rPr>
        <w:t>o</w:t>
      </w:r>
      <w:r w:rsidR="0056697B" w:rsidRPr="0056697B">
        <w:rPr>
          <w:rFonts w:cstheme="minorHAnsi"/>
          <w:sz w:val="24"/>
          <w:szCs w:val="24"/>
        </w:rPr>
        <w:t xml:space="preserve">) must not be purchased with grant funds as giveaways for conferences.  Basic supplies that are necessary for use during the conference (e.g., folders, name tags) may be purchased.  Gifts, honorariums, leis, etc. cannot be purchased with grant funds. </w:t>
      </w:r>
    </w:p>
    <w:p w:rsidR="0056697B" w:rsidRPr="0056697B" w:rsidRDefault="0056697B" w:rsidP="0056697B">
      <w:pPr>
        <w:rPr>
          <w:rFonts w:cstheme="minorHAnsi"/>
          <w:sz w:val="24"/>
          <w:szCs w:val="24"/>
        </w:rPr>
      </w:pPr>
      <w:r w:rsidRPr="0056697B">
        <w:rPr>
          <w:rFonts w:cstheme="minorHAnsi"/>
          <w:sz w:val="24"/>
          <w:szCs w:val="24"/>
        </w:rPr>
        <w:t xml:space="preserve"> </w:t>
      </w:r>
    </w:p>
    <w:p w:rsidR="0056697B" w:rsidRPr="0056697B" w:rsidRDefault="0056697B" w:rsidP="00331B81">
      <w:pPr>
        <w:pStyle w:val="Heading2"/>
      </w:pPr>
      <w:bookmarkStart w:id="22" w:name="_Toc8299901"/>
      <w:r w:rsidRPr="0056697B">
        <w:t>Food and Beverage Expenditures</w:t>
      </w:r>
      <w:bookmarkEnd w:id="22"/>
      <w:r w:rsidRPr="0056697B">
        <w:t xml:space="preserve"> </w:t>
      </w:r>
    </w:p>
    <w:p w:rsidR="0056697B" w:rsidRDefault="00331B81" w:rsidP="0056697B">
      <w:pPr>
        <w:rPr>
          <w:rFonts w:cstheme="minorHAnsi"/>
          <w:sz w:val="24"/>
          <w:szCs w:val="24"/>
        </w:rPr>
      </w:pPr>
      <w:r>
        <w:rPr>
          <w:rFonts w:cstheme="minorHAnsi"/>
          <w:sz w:val="24"/>
          <w:szCs w:val="24"/>
        </w:rPr>
        <w:tab/>
      </w:r>
      <w:r w:rsidR="00FC5BA0">
        <w:rPr>
          <w:rFonts w:cstheme="minorHAnsi"/>
          <w:sz w:val="24"/>
          <w:szCs w:val="24"/>
        </w:rPr>
        <w:t xml:space="preserve">Food and beverage expenditures are generally not allowable and will not be reimbursed.  The DOJ Financial Guide only allows food and </w:t>
      </w:r>
      <w:r w:rsidR="00924F15">
        <w:rPr>
          <w:rFonts w:cstheme="minorHAnsi"/>
          <w:sz w:val="24"/>
          <w:szCs w:val="24"/>
        </w:rPr>
        <w:t xml:space="preserve">beverages in extremely limited </w:t>
      </w:r>
      <w:r w:rsidR="00BE5525">
        <w:rPr>
          <w:rFonts w:cstheme="minorHAnsi"/>
          <w:sz w:val="24"/>
          <w:szCs w:val="24"/>
        </w:rPr>
        <w:t>circumstances and</w:t>
      </w:r>
      <w:r w:rsidR="00924F15">
        <w:rPr>
          <w:rFonts w:cstheme="minorHAnsi"/>
          <w:sz w:val="24"/>
          <w:szCs w:val="24"/>
        </w:rPr>
        <w:t xml:space="preserve"> requires prior approval from the DOJ – typically 90-120 days prior to the event.</w:t>
      </w:r>
    </w:p>
    <w:p w:rsidR="00924F15" w:rsidRPr="0056697B" w:rsidRDefault="00BE5525" w:rsidP="0056697B">
      <w:pPr>
        <w:rPr>
          <w:rFonts w:cstheme="minorHAnsi"/>
          <w:sz w:val="24"/>
          <w:szCs w:val="24"/>
        </w:rPr>
      </w:pPr>
      <w:r>
        <w:rPr>
          <w:rFonts w:cstheme="minorHAnsi"/>
          <w:sz w:val="24"/>
          <w:szCs w:val="24"/>
        </w:rPr>
        <w:tab/>
      </w:r>
      <w:r w:rsidR="00924F15">
        <w:rPr>
          <w:rFonts w:cstheme="minorHAnsi"/>
          <w:sz w:val="24"/>
          <w:szCs w:val="24"/>
        </w:rPr>
        <w:t>Emergency food</w:t>
      </w:r>
      <w:r>
        <w:rPr>
          <w:rFonts w:cstheme="minorHAnsi"/>
          <w:sz w:val="24"/>
          <w:szCs w:val="24"/>
        </w:rPr>
        <w:t>, however,</w:t>
      </w:r>
      <w:r w:rsidR="00924F15">
        <w:rPr>
          <w:rFonts w:cstheme="minorHAnsi"/>
          <w:sz w:val="24"/>
          <w:szCs w:val="24"/>
        </w:rPr>
        <w:t xml:space="preserve"> is allowable under VOCA.  Reimbursement requests </w:t>
      </w:r>
      <w:r w:rsidR="00995DE1">
        <w:rPr>
          <w:rFonts w:cstheme="minorHAnsi"/>
          <w:sz w:val="24"/>
          <w:szCs w:val="24"/>
        </w:rPr>
        <w:t>for</w:t>
      </w:r>
      <w:r w:rsidR="00924F15">
        <w:rPr>
          <w:rFonts w:cstheme="minorHAnsi"/>
          <w:sz w:val="24"/>
          <w:szCs w:val="24"/>
        </w:rPr>
        <w:t xml:space="preserve"> emergency food should </w:t>
      </w:r>
      <w:r w:rsidR="00995DE1">
        <w:rPr>
          <w:rFonts w:cstheme="minorHAnsi"/>
          <w:sz w:val="24"/>
          <w:szCs w:val="24"/>
        </w:rPr>
        <w:t>include</w:t>
      </w:r>
      <w:r w:rsidR="00924F15">
        <w:rPr>
          <w:rFonts w:cstheme="minorHAnsi"/>
          <w:sz w:val="24"/>
          <w:szCs w:val="24"/>
        </w:rPr>
        <w:t xml:space="preserve"> a brief narrative </w:t>
      </w:r>
      <w:r w:rsidR="00663881">
        <w:rPr>
          <w:rFonts w:cstheme="minorHAnsi"/>
          <w:sz w:val="24"/>
          <w:szCs w:val="24"/>
        </w:rPr>
        <w:t>describing</w:t>
      </w:r>
      <w:r w:rsidR="00924F15">
        <w:rPr>
          <w:rFonts w:cstheme="minorHAnsi"/>
          <w:sz w:val="24"/>
          <w:szCs w:val="24"/>
        </w:rPr>
        <w:t xml:space="preserve"> the nature of the emergency </w:t>
      </w:r>
      <w:r>
        <w:rPr>
          <w:rFonts w:cstheme="minorHAnsi"/>
          <w:sz w:val="24"/>
          <w:szCs w:val="24"/>
        </w:rPr>
        <w:t>and reasonableness of the expense</w:t>
      </w:r>
    </w:p>
    <w:p w:rsidR="0056697B" w:rsidRPr="0056697B" w:rsidRDefault="0056697B" w:rsidP="0056697B">
      <w:pPr>
        <w:rPr>
          <w:rFonts w:cstheme="minorHAnsi"/>
          <w:sz w:val="24"/>
          <w:szCs w:val="24"/>
        </w:rPr>
      </w:pPr>
      <w:r w:rsidRPr="0056697B">
        <w:rPr>
          <w:rFonts w:cstheme="minorHAnsi"/>
          <w:sz w:val="24"/>
          <w:szCs w:val="24"/>
        </w:rPr>
        <w:t xml:space="preserve"> </w:t>
      </w:r>
    </w:p>
    <w:p w:rsidR="0056697B" w:rsidRPr="0056697B" w:rsidRDefault="0056697B" w:rsidP="0056697B">
      <w:pPr>
        <w:pStyle w:val="Heading2"/>
      </w:pPr>
      <w:bookmarkStart w:id="23" w:name="_Toc8299902"/>
      <w:r w:rsidRPr="0056697B">
        <w:t>Consultants</w:t>
      </w:r>
      <w:bookmarkEnd w:id="23"/>
      <w:r w:rsidRPr="0056697B">
        <w:t xml:space="preserve"> </w:t>
      </w:r>
    </w:p>
    <w:p w:rsidR="0056697B" w:rsidRPr="0056697B" w:rsidRDefault="00331B81" w:rsidP="0056697B">
      <w:pPr>
        <w:rPr>
          <w:rFonts w:cstheme="minorHAnsi"/>
          <w:sz w:val="24"/>
          <w:szCs w:val="24"/>
        </w:rPr>
      </w:pPr>
      <w:r>
        <w:rPr>
          <w:rFonts w:cstheme="minorHAnsi"/>
          <w:sz w:val="24"/>
          <w:szCs w:val="24"/>
        </w:rPr>
        <w:tab/>
      </w:r>
      <w:r w:rsidR="0056697B" w:rsidRPr="0056697B">
        <w:rPr>
          <w:rFonts w:cstheme="minorHAnsi"/>
          <w:sz w:val="24"/>
          <w:szCs w:val="24"/>
        </w:rPr>
        <w:t xml:space="preserve">Compensation for individual consultant services is to be reasonable and consistent with </w:t>
      </w:r>
      <w:r w:rsidR="00995DE1">
        <w:rPr>
          <w:rFonts w:cstheme="minorHAnsi"/>
          <w:sz w:val="24"/>
          <w:szCs w:val="24"/>
        </w:rPr>
        <w:t>the amount</w:t>
      </w:r>
      <w:r w:rsidR="0056697B" w:rsidRPr="0056697B">
        <w:rPr>
          <w:rFonts w:cstheme="minorHAnsi"/>
          <w:sz w:val="24"/>
          <w:szCs w:val="24"/>
        </w:rPr>
        <w:t xml:space="preserve"> paid for similar services in the marketplace.  Effective June 1, 2014, the maximum allowable rate is $650 per day (excluding travel and subsistence costs) for an eight-hour day or $81.25 per hour.  An eight-hour day may include preparation, evaluation, and travel time in addition to the time required for actual performance.  Please note, however, that this does not mean that the rate can or should be the maximum limit for all consultants. </w:t>
      </w:r>
    </w:p>
    <w:p w:rsidR="0056697B" w:rsidRPr="0056697B" w:rsidRDefault="00331B81" w:rsidP="0056697B">
      <w:pPr>
        <w:rPr>
          <w:rFonts w:cstheme="minorHAnsi"/>
          <w:sz w:val="24"/>
          <w:szCs w:val="24"/>
        </w:rPr>
      </w:pPr>
      <w:r>
        <w:rPr>
          <w:rFonts w:cstheme="minorHAnsi"/>
          <w:sz w:val="24"/>
          <w:szCs w:val="24"/>
        </w:rPr>
        <w:tab/>
      </w:r>
      <w:r w:rsidR="0056697B" w:rsidRPr="0056697B">
        <w:rPr>
          <w:rFonts w:cstheme="minorHAnsi"/>
          <w:sz w:val="24"/>
          <w:szCs w:val="24"/>
        </w:rPr>
        <w:t xml:space="preserve">When the rate exceeds the limit for an eight-hour day, or a proportionate hourly rate (excluding travel and subsistence costs), </w:t>
      </w:r>
      <w:r w:rsidR="00995DE1">
        <w:rPr>
          <w:rFonts w:cstheme="minorHAnsi"/>
          <w:sz w:val="24"/>
          <w:szCs w:val="24"/>
        </w:rPr>
        <w:t>s</w:t>
      </w:r>
      <w:r w:rsidR="00437089">
        <w:rPr>
          <w:rFonts w:cstheme="minorHAnsi"/>
          <w:sz w:val="24"/>
          <w:szCs w:val="24"/>
        </w:rPr>
        <w:t>ubrecipient</w:t>
      </w:r>
      <w:r w:rsidR="0056697B" w:rsidRPr="0056697B">
        <w:rPr>
          <w:rFonts w:cstheme="minorHAnsi"/>
          <w:sz w:val="24"/>
          <w:szCs w:val="24"/>
        </w:rPr>
        <w:t xml:space="preserve"> must request written approval from </w:t>
      </w:r>
      <w:r>
        <w:rPr>
          <w:rFonts w:cstheme="minorHAnsi"/>
          <w:sz w:val="24"/>
          <w:szCs w:val="24"/>
        </w:rPr>
        <w:t>the PSGAO</w:t>
      </w:r>
      <w:r w:rsidR="0056697B" w:rsidRPr="0056697B">
        <w:rPr>
          <w:rFonts w:cstheme="minorHAnsi"/>
          <w:sz w:val="24"/>
          <w:szCs w:val="24"/>
        </w:rPr>
        <w:t xml:space="preserve">, prior to obligating grant funds.   </w:t>
      </w:r>
    </w:p>
    <w:p w:rsidR="0056697B" w:rsidRDefault="0056697B" w:rsidP="0056697B">
      <w:pPr>
        <w:rPr>
          <w:rFonts w:cstheme="minorHAnsi"/>
          <w:sz w:val="24"/>
          <w:szCs w:val="24"/>
        </w:rPr>
      </w:pPr>
      <w:r w:rsidRPr="0056697B">
        <w:rPr>
          <w:rFonts w:cstheme="minorHAnsi"/>
          <w:sz w:val="24"/>
          <w:szCs w:val="24"/>
        </w:rPr>
        <w:lastRenderedPageBreak/>
        <w:t xml:space="preserve"> </w:t>
      </w:r>
      <w:r w:rsidR="00331B81">
        <w:rPr>
          <w:rFonts w:cstheme="minorHAnsi"/>
          <w:sz w:val="24"/>
          <w:szCs w:val="24"/>
        </w:rPr>
        <w:tab/>
      </w:r>
      <w:r w:rsidRPr="0056697B">
        <w:rPr>
          <w:rFonts w:cstheme="minorHAnsi"/>
          <w:sz w:val="24"/>
          <w:szCs w:val="24"/>
        </w:rPr>
        <w:t xml:space="preserve">Refer to the DOJ Grants Financial Guide for additional information.  It is recommended that </w:t>
      </w:r>
      <w:r w:rsidR="00995DE1">
        <w:rPr>
          <w:rFonts w:cstheme="minorHAnsi"/>
          <w:sz w:val="24"/>
          <w:szCs w:val="24"/>
        </w:rPr>
        <w:t>s</w:t>
      </w:r>
      <w:r w:rsidR="00437089">
        <w:rPr>
          <w:rFonts w:cstheme="minorHAnsi"/>
          <w:sz w:val="24"/>
          <w:szCs w:val="24"/>
        </w:rPr>
        <w:t>ubrecipient</w:t>
      </w:r>
      <w:r w:rsidR="00995DE1">
        <w:rPr>
          <w:rFonts w:cstheme="minorHAnsi"/>
          <w:sz w:val="24"/>
          <w:szCs w:val="24"/>
        </w:rPr>
        <w:t>s</w:t>
      </w:r>
      <w:r w:rsidRPr="0056697B">
        <w:rPr>
          <w:rFonts w:cstheme="minorHAnsi"/>
          <w:sz w:val="24"/>
          <w:szCs w:val="24"/>
        </w:rPr>
        <w:t xml:space="preserve"> contact </w:t>
      </w:r>
      <w:r w:rsidR="00EC587D">
        <w:rPr>
          <w:rFonts w:cstheme="minorHAnsi"/>
          <w:sz w:val="24"/>
          <w:szCs w:val="24"/>
        </w:rPr>
        <w:t>the PSGAO</w:t>
      </w:r>
      <w:r w:rsidRPr="0056697B">
        <w:rPr>
          <w:rFonts w:cstheme="minorHAnsi"/>
          <w:sz w:val="24"/>
          <w:szCs w:val="24"/>
        </w:rPr>
        <w:t xml:space="preserve"> to ensure that the compensation they are planning to pay a consultant is at the market rate and meets </w:t>
      </w:r>
      <w:r w:rsidR="00995DE1">
        <w:rPr>
          <w:rFonts w:cstheme="minorHAnsi"/>
          <w:sz w:val="24"/>
          <w:szCs w:val="24"/>
        </w:rPr>
        <w:t>f</w:t>
      </w:r>
      <w:r w:rsidRPr="0056697B">
        <w:rPr>
          <w:rFonts w:cstheme="minorHAnsi"/>
          <w:sz w:val="24"/>
          <w:szCs w:val="24"/>
        </w:rPr>
        <w:t xml:space="preserve">ederal requirements. Time and activity reports are required for consultants.  </w:t>
      </w:r>
    </w:p>
    <w:p w:rsidR="00895430" w:rsidRDefault="00895430" w:rsidP="0056697B">
      <w:pPr>
        <w:rPr>
          <w:rFonts w:cstheme="minorHAnsi"/>
          <w:sz w:val="24"/>
          <w:szCs w:val="24"/>
        </w:rPr>
      </w:pPr>
    </w:p>
    <w:p w:rsidR="00BC7CBD" w:rsidRPr="00BC7CBD" w:rsidRDefault="00BC7CBD" w:rsidP="00BC7CBD">
      <w:pPr>
        <w:pStyle w:val="Heading1"/>
        <w:jc w:val="center"/>
      </w:pPr>
      <w:bookmarkStart w:id="24" w:name="_Toc8299903"/>
      <w:r w:rsidRPr="00BC7CBD">
        <w:t>Modification and Extension of Approved Budget</w:t>
      </w:r>
      <w:bookmarkEnd w:id="24"/>
    </w:p>
    <w:p w:rsidR="00BC7CBD" w:rsidRPr="00BC7CBD" w:rsidRDefault="00BC7CBD" w:rsidP="00BC7CBD">
      <w:pPr>
        <w:rPr>
          <w:rFonts w:cstheme="minorHAnsi"/>
          <w:sz w:val="24"/>
          <w:szCs w:val="24"/>
        </w:rPr>
      </w:pPr>
      <w:r w:rsidRPr="00BC7CBD">
        <w:rPr>
          <w:rFonts w:cstheme="minorHAnsi"/>
          <w:sz w:val="24"/>
          <w:szCs w:val="24"/>
        </w:rPr>
        <w:tab/>
        <w:t xml:space="preserve">Requests for modification or an extension of an approved budget must be submitted in writing to the PSGAO in advance of the obligation of expenditures.    All requests must be submitted by </w:t>
      </w:r>
      <w:r w:rsidR="00995DE1">
        <w:rPr>
          <w:rFonts w:cstheme="minorHAnsi"/>
          <w:sz w:val="24"/>
          <w:szCs w:val="24"/>
        </w:rPr>
        <w:t>s</w:t>
      </w:r>
      <w:r w:rsidR="00437089">
        <w:rPr>
          <w:rFonts w:cstheme="minorHAnsi"/>
          <w:sz w:val="24"/>
          <w:szCs w:val="24"/>
        </w:rPr>
        <w:t>ubrecipient</w:t>
      </w:r>
      <w:r w:rsidRPr="00BC7CBD">
        <w:rPr>
          <w:rFonts w:cstheme="minorHAnsi"/>
          <w:sz w:val="24"/>
          <w:szCs w:val="24"/>
        </w:rPr>
        <w:t xml:space="preserve"> no later than 45 days prior to the project end date.  </w:t>
      </w:r>
      <w:r w:rsidR="00612C56">
        <w:rPr>
          <w:rFonts w:cstheme="minorHAnsi"/>
          <w:sz w:val="24"/>
          <w:szCs w:val="24"/>
        </w:rPr>
        <w:t>R</w:t>
      </w:r>
      <w:r w:rsidRPr="00BC7CBD">
        <w:rPr>
          <w:rFonts w:cstheme="minorHAnsi"/>
          <w:sz w:val="24"/>
          <w:szCs w:val="24"/>
        </w:rPr>
        <w:t xml:space="preserve">equests shall be reviewed by the PSGAO for consistency with </w:t>
      </w:r>
      <w:r w:rsidR="00995DE1">
        <w:rPr>
          <w:rFonts w:cstheme="minorHAnsi"/>
          <w:sz w:val="24"/>
          <w:szCs w:val="24"/>
        </w:rPr>
        <w:t>f</w:t>
      </w:r>
      <w:r w:rsidRPr="00BC7CBD">
        <w:rPr>
          <w:rFonts w:cstheme="minorHAnsi"/>
          <w:sz w:val="24"/>
          <w:szCs w:val="24"/>
        </w:rPr>
        <w:t xml:space="preserve">ederal requirements and project goals and objectives.  </w:t>
      </w:r>
      <w:r w:rsidR="00FC5BA0">
        <w:rPr>
          <w:rFonts w:cstheme="minorHAnsi"/>
          <w:sz w:val="24"/>
          <w:szCs w:val="24"/>
        </w:rPr>
        <w:t xml:space="preserve">Requests should include a proposed budget and narrative where appropriate.  Approval shall be given in writing only.  </w:t>
      </w:r>
    </w:p>
    <w:p w:rsidR="007955FA" w:rsidRPr="009F67A3" w:rsidRDefault="007955FA" w:rsidP="00260281">
      <w:pPr>
        <w:pStyle w:val="Heading1"/>
        <w:jc w:val="center"/>
        <w:rPr>
          <w:sz w:val="24"/>
          <w:szCs w:val="24"/>
        </w:rPr>
      </w:pPr>
    </w:p>
    <w:p w:rsidR="00847FCC" w:rsidRDefault="00002D26" w:rsidP="00260281">
      <w:pPr>
        <w:pStyle w:val="Heading1"/>
        <w:jc w:val="center"/>
      </w:pPr>
      <w:bookmarkStart w:id="25" w:name="_Toc8299904"/>
      <w:r>
        <w:t>SECOND TIER AWARDS</w:t>
      </w:r>
      <w:bookmarkEnd w:id="25"/>
    </w:p>
    <w:p w:rsidR="008032D4" w:rsidRDefault="00E25BD3">
      <w:pPr>
        <w:rPr>
          <w:rFonts w:cstheme="minorHAnsi"/>
          <w:sz w:val="24"/>
          <w:szCs w:val="24"/>
        </w:rPr>
      </w:pPr>
      <w:r>
        <w:rPr>
          <w:rFonts w:cstheme="minorHAnsi"/>
          <w:sz w:val="24"/>
          <w:szCs w:val="24"/>
        </w:rPr>
        <w:tab/>
      </w:r>
      <w:r w:rsidR="004F6177" w:rsidRPr="004F6177">
        <w:rPr>
          <w:rFonts w:cstheme="minorHAnsi"/>
          <w:sz w:val="24"/>
          <w:szCs w:val="24"/>
        </w:rPr>
        <w:t>Subrecipients must have a policy in place that addresses the monitoring requirements including financial rules and regulations according to 2 C.F.R.</w:t>
      </w:r>
      <w:r w:rsidR="00331B81" w:rsidRPr="00331B81">
        <w:rPr>
          <w:rFonts w:cstheme="minorHAnsi"/>
          <w:sz w:val="24"/>
          <w:szCs w:val="24"/>
        </w:rPr>
        <w:t xml:space="preserve"> </w:t>
      </w:r>
      <w:r w:rsidR="00331B81" w:rsidRPr="005A6A4E">
        <w:rPr>
          <w:rFonts w:cstheme="minorHAnsi"/>
          <w:sz w:val="24"/>
          <w:szCs w:val="24"/>
        </w:rPr>
        <w:t>§</w:t>
      </w:r>
      <w:r w:rsidR="004F6177" w:rsidRPr="004F6177">
        <w:rPr>
          <w:rFonts w:cstheme="minorHAnsi"/>
          <w:sz w:val="24"/>
          <w:szCs w:val="24"/>
        </w:rPr>
        <w:t xml:space="preserve"> 200 Uniform Administrative Requirements, Cost Principles, and Audit Requirements for Federal Awards and </w:t>
      </w:r>
      <w:r w:rsidR="00847FCC" w:rsidRPr="004F6177">
        <w:rPr>
          <w:rFonts w:cstheme="minorHAnsi"/>
          <w:sz w:val="24"/>
          <w:szCs w:val="24"/>
        </w:rPr>
        <w:t>programmatic</w:t>
      </w:r>
      <w:r w:rsidR="004F6177" w:rsidRPr="004F6177">
        <w:rPr>
          <w:rFonts w:cstheme="minorHAnsi"/>
          <w:sz w:val="24"/>
          <w:szCs w:val="24"/>
        </w:rPr>
        <w:t xml:space="preserve"> requirements outlined by the VOCA Program Guidelines and Final Rule. </w:t>
      </w:r>
      <w:r w:rsidR="008F3FFB">
        <w:rPr>
          <w:rFonts w:cstheme="minorHAnsi"/>
          <w:sz w:val="24"/>
          <w:szCs w:val="24"/>
        </w:rPr>
        <w:t xml:space="preserve"> Sub</w:t>
      </w:r>
      <w:r w:rsidR="00437089">
        <w:rPr>
          <w:rFonts w:cstheme="minorHAnsi"/>
          <w:sz w:val="24"/>
          <w:szCs w:val="24"/>
        </w:rPr>
        <w:t>recipient</w:t>
      </w:r>
      <w:r w:rsidR="008F3FFB">
        <w:rPr>
          <w:rFonts w:cstheme="minorHAnsi"/>
          <w:sz w:val="24"/>
          <w:szCs w:val="24"/>
        </w:rPr>
        <w:t xml:space="preserve">s must have a policy in placed regardless of whether they intend to make a </w:t>
      </w:r>
      <w:r w:rsidR="00EC587D">
        <w:rPr>
          <w:rFonts w:cstheme="minorHAnsi"/>
          <w:sz w:val="24"/>
          <w:szCs w:val="24"/>
        </w:rPr>
        <w:t>second-tier</w:t>
      </w:r>
      <w:r w:rsidR="008F3FFB">
        <w:rPr>
          <w:rFonts w:cstheme="minorHAnsi"/>
          <w:sz w:val="24"/>
          <w:szCs w:val="24"/>
        </w:rPr>
        <w:t xml:space="preserve"> award.</w:t>
      </w:r>
    </w:p>
    <w:p w:rsidR="008032D4" w:rsidRDefault="008032D4">
      <w:pPr>
        <w:rPr>
          <w:rFonts w:cstheme="minorHAnsi"/>
          <w:sz w:val="24"/>
          <w:szCs w:val="24"/>
        </w:rPr>
      </w:pPr>
    </w:p>
    <w:p w:rsidR="001E0E66" w:rsidRDefault="006A6C39" w:rsidP="008E52DC">
      <w:pPr>
        <w:pStyle w:val="Heading1"/>
        <w:jc w:val="center"/>
      </w:pPr>
      <w:bookmarkStart w:id="26" w:name="_Toc8299905"/>
      <w:r>
        <w:t>REIMBURSEMENT PROCESS</w:t>
      </w:r>
      <w:bookmarkEnd w:id="26"/>
    </w:p>
    <w:p w:rsidR="00BE5525" w:rsidRDefault="00BE5525" w:rsidP="00BE5525">
      <w:pPr>
        <w:pStyle w:val="Heading2"/>
      </w:pPr>
      <w:bookmarkStart w:id="27" w:name="_Toc8299906"/>
      <w:r>
        <w:t>Reimbursement</w:t>
      </w:r>
      <w:bookmarkEnd w:id="27"/>
    </w:p>
    <w:p w:rsidR="00BE5525" w:rsidRPr="00C349E9" w:rsidRDefault="00BE5525" w:rsidP="00BE5525">
      <w:pPr>
        <w:rPr>
          <w:sz w:val="24"/>
          <w:szCs w:val="24"/>
        </w:rPr>
      </w:pPr>
      <w:r>
        <w:tab/>
      </w:r>
      <w:r w:rsidRPr="00C349E9">
        <w:rPr>
          <w:sz w:val="24"/>
          <w:szCs w:val="24"/>
        </w:rPr>
        <w:t xml:space="preserve">VOCA is a </w:t>
      </w:r>
      <w:r w:rsidR="009B62A5" w:rsidRPr="00C349E9">
        <w:rPr>
          <w:sz w:val="24"/>
          <w:szCs w:val="24"/>
        </w:rPr>
        <w:t>reimbursement-based</w:t>
      </w:r>
      <w:r w:rsidRPr="00C349E9">
        <w:rPr>
          <w:sz w:val="24"/>
          <w:szCs w:val="24"/>
        </w:rPr>
        <w:t xml:space="preserve"> program</w:t>
      </w:r>
      <w:r w:rsidR="00C349E9" w:rsidRPr="00C349E9">
        <w:rPr>
          <w:sz w:val="24"/>
          <w:szCs w:val="24"/>
        </w:rPr>
        <w:t>; funds may not be expended in advance.</w:t>
      </w:r>
      <w:r w:rsidRPr="00C349E9">
        <w:rPr>
          <w:sz w:val="24"/>
          <w:szCs w:val="24"/>
        </w:rPr>
        <w:t xml:space="preserve">  Grant administrators will review all requests for reimbursement for accuracy, clarity, compliance with the original budget, and adherence to </w:t>
      </w:r>
      <w:r w:rsidR="00995DE1">
        <w:rPr>
          <w:sz w:val="24"/>
          <w:szCs w:val="24"/>
        </w:rPr>
        <w:t>f</w:t>
      </w:r>
      <w:r w:rsidRPr="00C349E9">
        <w:rPr>
          <w:sz w:val="24"/>
          <w:szCs w:val="24"/>
        </w:rPr>
        <w:t>ederal standards.  Subrecipients shall not be reimbursed until reviewed by a basic desk audit.</w:t>
      </w:r>
    </w:p>
    <w:p w:rsidR="00BE5525" w:rsidRPr="00C349E9" w:rsidRDefault="00BE5525" w:rsidP="00BE5525">
      <w:pPr>
        <w:rPr>
          <w:sz w:val="24"/>
          <w:szCs w:val="24"/>
        </w:rPr>
      </w:pPr>
      <w:r w:rsidRPr="00C349E9">
        <w:rPr>
          <w:sz w:val="24"/>
          <w:szCs w:val="24"/>
        </w:rPr>
        <w:t>To receive reimbursement for expenditures, sub</w:t>
      </w:r>
      <w:r w:rsidR="00437089">
        <w:rPr>
          <w:sz w:val="24"/>
          <w:szCs w:val="24"/>
        </w:rPr>
        <w:t>recipient</w:t>
      </w:r>
      <w:r w:rsidRPr="00C349E9">
        <w:rPr>
          <w:sz w:val="24"/>
          <w:szCs w:val="24"/>
        </w:rPr>
        <w:t>s must submit:</w:t>
      </w:r>
    </w:p>
    <w:p w:rsidR="00BE5525" w:rsidRPr="00C349E9" w:rsidRDefault="00BE5525" w:rsidP="00BE5525">
      <w:pPr>
        <w:rPr>
          <w:sz w:val="24"/>
          <w:szCs w:val="24"/>
        </w:rPr>
      </w:pPr>
      <w:r w:rsidRPr="00C349E9">
        <w:rPr>
          <w:sz w:val="24"/>
          <w:szCs w:val="24"/>
        </w:rPr>
        <w:t>•</w:t>
      </w:r>
      <w:r w:rsidRPr="00C349E9">
        <w:rPr>
          <w:sz w:val="24"/>
          <w:szCs w:val="24"/>
        </w:rPr>
        <w:tab/>
        <w:t xml:space="preserve">A current SF-260-R Grant Reimbursement Request and Fiscal Report Form (either </w:t>
      </w:r>
      <w:r w:rsidR="00C349E9">
        <w:rPr>
          <w:sz w:val="24"/>
          <w:szCs w:val="24"/>
        </w:rPr>
        <w:tab/>
      </w:r>
      <w:r w:rsidRPr="00C349E9">
        <w:rPr>
          <w:sz w:val="24"/>
          <w:szCs w:val="24"/>
        </w:rPr>
        <w:t>monthly or quarterly)</w:t>
      </w:r>
    </w:p>
    <w:p w:rsidR="00BE5525" w:rsidRPr="00C349E9" w:rsidRDefault="00BE5525" w:rsidP="00BE5525">
      <w:pPr>
        <w:rPr>
          <w:sz w:val="24"/>
          <w:szCs w:val="24"/>
        </w:rPr>
      </w:pPr>
      <w:r w:rsidRPr="00C349E9">
        <w:rPr>
          <w:sz w:val="24"/>
          <w:szCs w:val="24"/>
        </w:rPr>
        <w:t>•</w:t>
      </w:r>
      <w:r w:rsidRPr="00C349E9">
        <w:rPr>
          <w:sz w:val="24"/>
          <w:szCs w:val="24"/>
        </w:rPr>
        <w:tab/>
        <w:t xml:space="preserve">A </w:t>
      </w:r>
      <w:r w:rsidR="00995DE1">
        <w:rPr>
          <w:sz w:val="24"/>
          <w:szCs w:val="24"/>
        </w:rPr>
        <w:t>S</w:t>
      </w:r>
      <w:r w:rsidRPr="00C349E9">
        <w:rPr>
          <w:sz w:val="24"/>
          <w:szCs w:val="24"/>
        </w:rPr>
        <w:t xml:space="preserve">ubgrant Program Progress Report with a brief narrative describing the progress of </w:t>
      </w:r>
      <w:r w:rsidR="00C349E9">
        <w:rPr>
          <w:sz w:val="24"/>
          <w:szCs w:val="24"/>
        </w:rPr>
        <w:tab/>
      </w:r>
      <w:r w:rsidRPr="00C349E9">
        <w:rPr>
          <w:sz w:val="24"/>
          <w:szCs w:val="24"/>
        </w:rPr>
        <w:t xml:space="preserve">your VOCA funded program on page 1 and a list of the program’s Objectives and </w:t>
      </w:r>
      <w:r w:rsidR="00C349E9">
        <w:rPr>
          <w:sz w:val="24"/>
          <w:szCs w:val="24"/>
        </w:rPr>
        <w:tab/>
      </w:r>
      <w:r w:rsidRPr="00C349E9">
        <w:rPr>
          <w:sz w:val="24"/>
          <w:szCs w:val="24"/>
        </w:rPr>
        <w:t xml:space="preserve">Accomplishments on </w:t>
      </w:r>
      <w:r w:rsidR="00C349E9" w:rsidRPr="00C349E9">
        <w:rPr>
          <w:sz w:val="24"/>
          <w:szCs w:val="24"/>
        </w:rPr>
        <w:tab/>
      </w:r>
      <w:r w:rsidRPr="00C349E9">
        <w:rPr>
          <w:sz w:val="24"/>
          <w:szCs w:val="24"/>
        </w:rPr>
        <w:t xml:space="preserve">page 2.  Progress Reports should describe activities and </w:t>
      </w:r>
      <w:r w:rsidR="00C349E9">
        <w:rPr>
          <w:sz w:val="24"/>
          <w:szCs w:val="24"/>
        </w:rPr>
        <w:tab/>
      </w:r>
      <w:r w:rsidRPr="00C349E9">
        <w:rPr>
          <w:sz w:val="24"/>
          <w:szCs w:val="24"/>
        </w:rPr>
        <w:t xml:space="preserve">expenditures in your SF-260-R </w:t>
      </w:r>
    </w:p>
    <w:p w:rsidR="00BE5525" w:rsidRPr="00C349E9" w:rsidRDefault="00BE5525" w:rsidP="00BE5525">
      <w:pPr>
        <w:rPr>
          <w:sz w:val="24"/>
          <w:szCs w:val="24"/>
        </w:rPr>
      </w:pPr>
      <w:r w:rsidRPr="00C349E9">
        <w:rPr>
          <w:sz w:val="24"/>
          <w:szCs w:val="24"/>
        </w:rPr>
        <w:lastRenderedPageBreak/>
        <w:t>•</w:t>
      </w:r>
      <w:r w:rsidRPr="00C349E9">
        <w:rPr>
          <w:sz w:val="24"/>
          <w:szCs w:val="24"/>
        </w:rPr>
        <w:tab/>
        <w:t xml:space="preserve">A cover sheet with a list of documents included with the SF-260-R </w:t>
      </w:r>
    </w:p>
    <w:p w:rsidR="00BE5525" w:rsidRPr="00C349E9" w:rsidRDefault="00BE5525" w:rsidP="00BE5525">
      <w:pPr>
        <w:rPr>
          <w:sz w:val="24"/>
          <w:szCs w:val="24"/>
        </w:rPr>
      </w:pPr>
      <w:r w:rsidRPr="00C349E9">
        <w:rPr>
          <w:sz w:val="24"/>
          <w:szCs w:val="24"/>
        </w:rPr>
        <w:t>•</w:t>
      </w:r>
      <w:r w:rsidRPr="00C349E9">
        <w:rPr>
          <w:sz w:val="24"/>
          <w:szCs w:val="24"/>
        </w:rPr>
        <w:tab/>
        <w:t xml:space="preserve">Appropriate backup documentation for expenditures, i.e. invoices with proof of </w:t>
      </w:r>
      <w:r w:rsidR="00C349E9">
        <w:rPr>
          <w:sz w:val="24"/>
          <w:szCs w:val="24"/>
        </w:rPr>
        <w:tab/>
      </w:r>
      <w:r w:rsidRPr="00C349E9">
        <w:rPr>
          <w:sz w:val="24"/>
          <w:szCs w:val="24"/>
        </w:rPr>
        <w:t xml:space="preserve">payment (copies of canceled checks, receipts, banks statements) payroll documentation, </w:t>
      </w:r>
      <w:r w:rsidR="00C349E9">
        <w:rPr>
          <w:sz w:val="24"/>
          <w:szCs w:val="24"/>
        </w:rPr>
        <w:tab/>
      </w:r>
      <w:r w:rsidRPr="00C349E9">
        <w:rPr>
          <w:sz w:val="24"/>
          <w:szCs w:val="24"/>
        </w:rPr>
        <w:t>etc.</w:t>
      </w:r>
    </w:p>
    <w:p w:rsidR="00BE5525" w:rsidRPr="00C349E9" w:rsidRDefault="009B62A5" w:rsidP="00BE5525">
      <w:pPr>
        <w:rPr>
          <w:sz w:val="24"/>
          <w:szCs w:val="24"/>
        </w:rPr>
      </w:pPr>
      <w:r>
        <w:rPr>
          <w:sz w:val="24"/>
          <w:szCs w:val="24"/>
        </w:rPr>
        <w:t>Additionally, p</w:t>
      </w:r>
      <w:r w:rsidR="00BE5525" w:rsidRPr="00C349E9">
        <w:rPr>
          <w:sz w:val="24"/>
          <w:szCs w:val="24"/>
        </w:rPr>
        <w:t xml:space="preserve">lease </w:t>
      </w:r>
      <w:r>
        <w:rPr>
          <w:sz w:val="24"/>
          <w:szCs w:val="24"/>
        </w:rPr>
        <w:t>n</w:t>
      </w:r>
      <w:r w:rsidR="00BE5525" w:rsidRPr="00C349E9">
        <w:rPr>
          <w:sz w:val="24"/>
          <w:szCs w:val="24"/>
        </w:rPr>
        <w:t>ote:</w:t>
      </w:r>
    </w:p>
    <w:p w:rsidR="00BE5525" w:rsidRPr="00C349E9" w:rsidRDefault="00BE5525" w:rsidP="00BE5525">
      <w:pPr>
        <w:rPr>
          <w:sz w:val="24"/>
          <w:szCs w:val="24"/>
        </w:rPr>
      </w:pPr>
      <w:r w:rsidRPr="00C349E9">
        <w:rPr>
          <w:sz w:val="24"/>
          <w:szCs w:val="24"/>
        </w:rPr>
        <w:t>•</w:t>
      </w:r>
      <w:r w:rsidRPr="00C349E9">
        <w:rPr>
          <w:sz w:val="24"/>
          <w:szCs w:val="24"/>
        </w:rPr>
        <w:tab/>
        <w:t xml:space="preserve">Grant reimbursements are only processed once per month on the 20th of the month </w:t>
      </w:r>
    </w:p>
    <w:p w:rsidR="00BE5525" w:rsidRPr="00C349E9" w:rsidRDefault="00BE5525" w:rsidP="00BE5525">
      <w:pPr>
        <w:rPr>
          <w:sz w:val="24"/>
          <w:szCs w:val="24"/>
        </w:rPr>
      </w:pPr>
      <w:r w:rsidRPr="00C349E9">
        <w:rPr>
          <w:sz w:val="24"/>
          <w:szCs w:val="24"/>
        </w:rPr>
        <w:t>•</w:t>
      </w:r>
      <w:r w:rsidRPr="00C349E9">
        <w:rPr>
          <w:sz w:val="24"/>
          <w:szCs w:val="24"/>
        </w:rPr>
        <w:tab/>
        <w:t xml:space="preserve">Reimbursements must be submitted a minimum of once per quarter. Monthly </w:t>
      </w:r>
      <w:r w:rsidR="009B62A5">
        <w:rPr>
          <w:sz w:val="24"/>
          <w:szCs w:val="24"/>
        </w:rPr>
        <w:tab/>
      </w:r>
      <w:r w:rsidRPr="00C349E9">
        <w:rPr>
          <w:sz w:val="24"/>
          <w:szCs w:val="24"/>
        </w:rPr>
        <w:t>reimbursements are allowed</w:t>
      </w:r>
      <w:r w:rsidR="003819BF">
        <w:rPr>
          <w:sz w:val="24"/>
          <w:szCs w:val="24"/>
        </w:rPr>
        <w:t>.</w:t>
      </w:r>
    </w:p>
    <w:p w:rsidR="00BE5525" w:rsidRPr="00C349E9" w:rsidRDefault="00BE5525" w:rsidP="00BE5525">
      <w:pPr>
        <w:rPr>
          <w:sz w:val="24"/>
          <w:szCs w:val="24"/>
        </w:rPr>
      </w:pPr>
      <w:r w:rsidRPr="00C349E9">
        <w:rPr>
          <w:sz w:val="24"/>
          <w:szCs w:val="24"/>
        </w:rPr>
        <w:t>•</w:t>
      </w:r>
      <w:r w:rsidRPr="00C349E9">
        <w:rPr>
          <w:sz w:val="24"/>
          <w:szCs w:val="24"/>
        </w:rPr>
        <w:tab/>
        <w:t xml:space="preserve">Reimbursements will not be processed if required quarterly online Performance </w:t>
      </w:r>
      <w:r w:rsidR="009B62A5">
        <w:rPr>
          <w:sz w:val="24"/>
          <w:szCs w:val="24"/>
        </w:rPr>
        <w:tab/>
      </w:r>
      <w:r w:rsidRPr="00C349E9">
        <w:rPr>
          <w:sz w:val="24"/>
          <w:szCs w:val="24"/>
        </w:rPr>
        <w:t xml:space="preserve">Measurement </w:t>
      </w:r>
      <w:r w:rsidR="00C349E9" w:rsidRPr="00C349E9">
        <w:rPr>
          <w:sz w:val="24"/>
          <w:szCs w:val="24"/>
        </w:rPr>
        <w:tab/>
      </w:r>
      <w:r w:rsidRPr="00C349E9">
        <w:rPr>
          <w:sz w:val="24"/>
          <w:szCs w:val="24"/>
        </w:rPr>
        <w:t xml:space="preserve">Tool (PMT) reporting is not completed and if the quarterly narrative </w:t>
      </w:r>
      <w:r w:rsidR="009B62A5">
        <w:rPr>
          <w:sz w:val="24"/>
          <w:szCs w:val="24"/>
        </w:rPr>
        <w:tab/>
      </w:r>
      <w:r w:rsidRPr="00C349E9">
        <w:rPr>
          <w:sz w:val="24"/>
          <w:szCs w:val="24"/>
        </w:rPr>
        <w:t>progress report has not been submitted</w:t>
      </w:r>
      <w:r w:rsidR="003819BF">
        <w:rPr>
          <w:sz w:val="24"/>
          <w:szCs w:val="24"/>
        </w:rPr>
        <w:t>.</w:t>
      </w:r>
    </w:p>
    <w:p w:rsidR="00BE5525" w:rsidRDefault="00BE5525" w:rsidP="006A6C39">
      <w:pPr>
        <w:rPr>
          <w:sz w:val="24"/>
          <w:szCs w:val="24"/>
        </w:rPr>
      </w:pPr>
    </w:p>
    <w:p w:rsidR="00BE5525" w:rsidRDefault="00BE5525" w:rsidP="00BE5525">
      <w:pPr>
        <w:pStyle w:val="Heading2"/>
      </w:pPr>
      <w:bookmarkStart w:id="28" w:name="_Toc8299907"/>
      <w:r>
        <w:t>Process</w:t>
      </w:r>
      <w:bookmarkEnd w:id="28"/>
    </w:p>
    <w:p w:rsidR="006A6C39" w:rsidRPr="00002D26" w:rsidRDefault="006A6C39" w:rsidP="006A6C39">
      <w:pPr>
        <w:rPr>
          <w:sz w:val="24"/>
          <w:szCs w:val="24"/>
        </w:rPr>
      </w:pPr>
      <w:r w:rsidRPr="00002D26">
        <w:rPr>
          <w:sz w:val="24"/>
          <w:szCs w:val="24"/>
        </w:rPr>
        <w:t>The following is intended to be descriptive of the reimbursement process in order</w:t>
      </w:r>
      <w:r w:rsidR="001945ED" w:rsidRPr="00002D26">
        <w:rPr>
          <w:sz w:val="24"/>
          <w:szCs w:val="24"/>
        </w:rPr>
        <w:t xml:space="preserve"> increase transparency</w:t>
      </w:r>
      <w:r w:rsidRPr="00002D26">
        <w:rPr>
          <w:sz w:val="24"/>
          <w:szCs w:val="24"/>
        </w:rPr>
        <w:t xml:space="preserve"> to assist subrecipients</w:t>
      </w:r>
      <w:r w:rsidR="00314595">
        <w:rPr>
          <w:sz w:val="24"/>
          <w:szCs w:val="24"/>
        </w:rPr>
        <w:t xml:space="preserve"> program planning:</w:t>
      </w:r>
    </w:p>
    <w:p w:rsidR="006A6C39" w:rsidRDefault="006A6C39" w:rsidP="006A6C39">
      <w:pPr>
        <w:numPr>
          <w:ilvl w:val="0"/>
          <w:numId w:val="10"/>
        </w:numPr>
        <w:tabs>
          <w:tab w:val="clear" w:pos="720"/>
          <w:tab w:val="num" w:pos="1080"/>
        </w:tabs>
        <w:rPr>
          <w:sz w:val="24"/>
          <w:szCs w:val="24"/>
        </w:rPr>
      </w:pPr>
      <w:r w:rsidRPr="00002D26">
        <w:rPr>
          <w:sz w:val="24"/>
          <w:szCs w:val="24"/>
        </w:rPr>
        <w:t>All payments to subrecipients are made on a reimbursement basis, with appropriate backup documentation for the expenditures</w:t>
      </w:r>
      <w:r w:rsidR="00002D26">
        <w:rPr>
          <w:sz w:val="24"/>
          <w:szCs w:val="24"/>
        </w:rPr>
        <w:t>.</w:t>
      </w:r>
    </w:p>
    <w:p w:rsidR="00002D26" w:rsidRDefault="00002D26" w:rsidP="006A6C39">
      <w:pPr>
        <w:numPr>
          <w:ilvl w:val="0"/>
          <w:numId w:val="10"/>
        </w:numPr>
        <w:tabs>
          <w:tab w:val="clear" w:pos="720"/>
          <w:tab w:val="num" w:pos="1080"/>
        </w:tabs>
        <w:rPr>
          <w:sz w:val="24"/>
          <w:szCs w:val="24"/>
        </w:rPr>
      </w:pPr>
      <w:r>
        <w:rPr>
          <w:sz w:val="24"/>
          <w:szCs w:val="24"/>
        </w:rPr>
        <w:t>Subrecipients may seek reimbursement on a monthly or quarterly basis.</w:t>
      </w:r>
    </w:p>
    <w:p w:rsidR="00314595" w:rsidRDefault="00572F15" w:rsidP="006A6C39">
      <w:pPr>
        <w:numPr>
          <w:ilvl w:val="0"/>
          <w:numId w:val="10"/>
        </w:numPr>
        <w:tabs>
          <w:tab w:val="clear" w:pos="720"/>
          <w:tab w:val="num" w:pos="1080"/>
        </w:tabs>
        <w:rPr>
          <w:sz w:val="24"/>
          <w:szCs w:val="24"/>
        </w:rPr>
      </w:pPr>
      <w:r>
        <w:rPr>
          <w:sz w:val="24"/>
          <w:szCs w:val="24"/>
        </w:rPr>
        <w:t>S</w:t>
      </w:r>
      <w:r w:rsidR="00314595">
        <w:rPr>
          <w:sz w:val="24"/>
          <w:szCs w:val="24"/>
        </w:rPr>
        <w:t>ubrecipients are encouraged to submit</w:t>
      </w:r>
      <w:r w:rsidR="00995DE1">
        <w:rPr>
          <w:sz w:val="24"/>
          <w:szCs w:val="24"/>
        </w:rPr>
        <w:t xml:space="preserve"> their requests</w:t>
      </w:r>
      <w:r w:rsidR="00314595">
        <w:rPr>
          <w:sz w:val="24"/>
          <w:szCs w:val="24"/>
        </w:rPr>
        <w:t xml:space="preserve"> by the 20</w:t>
      </w:r>
      <w:r w:rsidR="00314595" w:rsidRPr="00314595">
        <w:rPr>
          <w:sz w:val="24"/>
          <w:szCs w:val="24"/>
          <w:vertAlign w:val="superscript"/>
        </w:rPr>
        <w:t>th</w:t>
      </w:r>
      <w:r w:rsidR="00314595">
        <w:rPr>
          <w:sz w:val="24"/>
          <w:szCs w:val="24"/>
        </w:rPr>
        <w:t xml:space="preserve"> of the month</w:t>
      </w:r>
      <w:r w:rsidR="00995DE1">
        <w:rPr>
          <w:sz w:val="24"/>
          <w:szCs w:val="24"/>
        </w:rPr>
        <w:t xml:space="preserve"> because the PSGAO processes payments on the 20</w:t>
      </w:r>
      <w:r w:rsidR="00995DE1" w:rsidRPr="00995DE1">
        <w:rPr>
          <w:sz w:val="24"/>
          <w:szCs w:val="24"/>
          <w:vertAlign w:val="superscript"/>
        </w:rPr>
        <w:t>th</w:t>
      </w:r>
      <w:r w:rsidR="00995DE1">
        <w:rPr>
          <w:sz w:val="24"/>
          <w:szCs w:val="24"/>
        </w:rPr>
        <w:t>.</w:t>
      </w:r>
    </w:p>
    <w:p w:rsidR="00314595" w:rsidRDefault="00B17411" w:rsidP="006A6C39">
      <w:pPr>
        <w:numPr>
          <w:ilvl w:val="0"/>
          <w:numId w:val="10"/>
        </w:numPr>
        <w:tabs>
          <w:tab w:val="clear" w:pos="720"/>
          <w:tab w:val="num" w:pos="1080"/>
        </w:tabs>
        <w:rPr>
          <w:sz w:val="24"/>
          <w:szCs w:val="24"/>
        </w:rPr>
      </w:pPr>
      <w:r>
        <w:rPr>
          <w:sz w:val="24"/>
          <w:szCs w:val="24"/>
        </w:rPr>
        <w:t xml:space="preserve">Grants are typically awarded in connection with the Federal Fiscal Year.  </w:t>
      </w:r>
      <w:r w:rsidR="00314595">
        <w:rPr>
          <w:sz w:val="24"/>
          <w:szCs w:val="24"/>
        </w:rPr>
        <w:t xml:space="preserve">Quarter 1 runs from </w:t>
      </w:r>
      <w:r w:rsidR="00B50E7C">
        <w:rPr>
          <w:sz w:val="24"/>
          <w:szCs w:val="24"/>
        </w:rPr>
        <w:t>October 1</w:t>
      </w:r>
      <w:r w:rsidR="00314595">
        <w:rPr>
          <w:sz w:val="24"/>
          <w:szCs w:val="24"/>
        </w:rPr>
        <w:t xml:space="preserve"> to </w:t>
      </w:r>
      <w:r w:rsidR="00B50E7C">
        <w:rPr>
          <w:sz w:val="24"/>
          <w:szCs w:val="24"/>
        </w:rPr>
        <w:t>December 3</w:t>
      </w:r>
      <w:r w:rsidR="00314595">
        <w:rPr>
          <w:sz w:val="24"/>
          <w:szCs w:val="24"/>
        </w:rPr>
        <w:t xml:space="preserve">1, Quarter 2 from </w:t>
      </w:r>
      <w:r w:rsidR="00B50E7C">
        <w:rPr>
          <w:sz w:val="24"/>
          <w:szCs w:val="24"/>
        </w:rPr>
        <w:t xml:space="preserve">January </w:t>
      </w:r>
      <w:r w:rsidR="00314595">
        <w:rPr>
          <w:sz w:val="24"/>
          <w:szCs w:val="24"/>
        </w:rPr>
        <w:t xml:space="preserve">1 to </w:t>
      </w:r>
      <w:r w:rsidR="00B50E7C">
        <w:rPr>
          <w:sz w:val="24"/>
          <w:szCs w:val="24"/>
        </w:rPr>
        <w:t xml:space="preserve">March </w:t>
      </w:r>
      <w:r w:rsidR="00314595">
        <w:rPr>
          <w:sz w:val="24"/>
          <w:szCs w:val="24"/>
        </w:rPr>
        <w:t xml:space="preserve">31, Quarter 3 from </w:t>
      </w:r>
      <w:r w:rsidR="00B50E7C">
        <w:rPr>
          <w:sz w:val="24"/>
          <w:szCs w:val="24"/>
        </w:rPr>
        <w:t xml:space="preserve">April </w:t>
      </w:r>
      <w:r w:rsidR="00314595">
        <w:rPr>
          <w:sz w:val="24"/>
          <w:szCs w:val="24"/>
        </w:rPr>
        <w:t xml:space="preserve">1 to </w:t>
      </w:r>
      <w:r w:rsidR="00B50E7C">
        <w:rPr>
          <w:sz w:val="24"/>
          <w:szCs w:val="24"/>
        </w:rPr>
        <w:t xml:space="preserve">June </w:t>
      </w:r>
      <w:r w:rsidR="00314595">
        <w:rPr>
          <w:sz w:val="24"/>
          <w:szCs w:val="24"/>
        </w:rPr>
        <w:t>30</w:t>
      </w:r>
      <w:r w:rsidR="00B50E7C">
        <w:rPr>
          <w:sz w:val="24"/>
          <w:szCs w:val="24"/>
        </w:rPr>
        <w:t>, and Quarter 4 from July 1 to September 30.</w:t>
      </w:r>
    </w:p>
    <w:p w:rsidR="00B50E7C" w:rsidRPr="00B50E7C" w:rsidRDefault="00B50E7C" w:rsidP="00B50E7C">
      <w:pPr>
        <w:numPr>
          <w:ilvl w:val="0"/>
          <w:numId w:val="10"/>
        </w:numPr>
        <w:tabs>
          <w:tab w:val="clear" w:pos="720"/>
          <w:tab w:val="num" w:pos="1080"/>
        </w:tabs>
        <w:rPr>
          <w:sz w:val="24"/>
          <w:szCs w:val="24"/>
        </w:rPr>
      </w:pPr>
      <w:r>
        <w:rPr>
          <w:sz w:val="24"/>
          <w:szCs w:val="24"/>
        </w:rPr>
        <w:t xml:space="preserve">If a reimbursement is </w:t>
      </w:r>
      <w:r w:rsidR="00B17411">
        <w:rPr>
          <w:sz w:val="24"/>
          <w:szCs w:val="24"/>
        </w:rPr>
        <w:t xml:space="preserve">incomplete or otherwise </w:t>
      </w:r>
      <w:r>
        <w:rPr>
          <w:sz w:val="24"/>
          <w:szCs w:val="24"/>
        </w:rPr>
        <w:t>unable to be processed during the requested period, the PSGAO will prioritize that request</w:t>
      </w:r>
      <w:r w:rsidR="00B17411">
        <w:rPr>
          <w:sz w:val="24"/>
          <w:szCs w:val="24"/>
        </w:rPr>
        <w:t xml:space="preserve"> if possible</w:t>
      </w:r>
      <w:r>
        <w:rPr>
          <w:sz w:val="24"/>
          <w:szCs w:val="24"/>
        </w:rPr>
        <w:t xml:space="preserve"> during the next draw down period.  If the </w:t>
      </w:r>
      <w:r w:rsidR="00B17411">
        <w:rPr>
          <w:sz w:val="24"/>
          <w:szCs w:val="24"/>
        </w:rPr>
        <w:t xml:space="preserve">reimbursement </w:t>
      </w:r>
      <w:r>
        <w:rPr>
          <w:sz w:val="24"/>
          <w:szCs w:val="24"/>
        </w:rPr>
        <w:t>request was quarterly, the request will be processed in the next month</w:t>
      </w:r>
      <w:r w:rsidR="00B17411">
        <w:rPr>
          <w:sz w:val="24"/>
          <w:szCs w:val="24"/>
        </w:rPr>
        <w:t xml:space="preserve"> (and not the next quarter)</w:t>
      </w:r>
      <w:r>
        <w:rPr>
          <w:sz w:val="24"/>
          <w:szCs w:val="24"/>
        </w:rPr>
        <w:t xml:space="preserve"> in order to minimize impact upon the subrecipients program.</w:t>
      </w:r>
    </w:p>
    <w:p w:rsidR="00B17411" w:rsidRDefault="006A6C39" w:rsidP="006A6C39">
      <w:pPr>
        <w:numPr>
          <w:ilvl w:val="0"/>
          <w:numId w:val="9"/>
        </w:numPr>
        <w:tabs>
          <w:tab w:val="num" w:pos="1080"/>
        </w:tabs>
        <w:rPr>
          <w:sz w:val="24"/>
          <w:szCs w:val="24"/>
        </w:rPr>
      </w:pPr>
      <w:r w:rsidRPr="00002D26">
        <w:rPr>
          <w:sz w:val="24"/>
          <w:szCs w:val="24"/>
        </w:rPr>
        <w:t xml:space="preserve">Grant administrators </w:t>
      </w:r>
      <w:r w:rsidR="00B17411">
        <w:rPr>
          <w:sz w:val="24"/>
          <w:szCs w:val="24"/>
        </w:rPr>
        <w:t xml:space="preserve">perform a desk audit </w:t>
      </w:r>
      <w:r w:rsidR="00995DE1">
        <w:rPr>
          <w:sz w:val="24"/>
          <w:szCs w:val="24"/>
        </w:rPr>
        <w:t>for</w:t>
      </w:r>
      <w:r w:rsidR="00B17411">
        <w:rPr>
          <w:sz w:val="24"/>
          <w:szCs w:val="24"/>
        </w:rPr>
        <w:t xml:space="preserve"> every reimbursement request.</w:t>
      </w:r>
    </w:p>
    <w:p w:rsidR="006A6C39" w:rsidRDefault="00B17411" w:rsidP="006A6C39">
      <w:pPr>
        <w:numPr>
          <w:ilvl w:val="0"/>
          <w:numId w:val="9"/>
        </w:numPr>
        <w:tabs>
          <w:tab w:val="num" w:pos="1080"/>
        </w:tabs>
        <w:rPr>
          <w:sz w:val="24"/>
          <w:szCs w:val="24"/>
        </w:rPr>
      </w:pPr>
      <w:r>
        <w:rPr>
          <w:sz w:val="24"/>
          <w:szCs w:val="24"/>
        </w:rPr>
        <w:t xml:space="preserve">Grant </w:t>
      </w:r>
      <w:r w:rsidR="00995DE1">
        <w:rPr>
          <w:sz w:val="24"/>
          <w:szCs w:val="24"/>
        </w:rPr>
        <w:t>a</w:t>
      </w:r>
      <w:r>
        <w:rPr>
          <w:sz w:val="24"/>
          <w:szCs w:val="24"/>
        </w:rPr>
        <w:t>dministrators validate line item expenditures, ensu</w:t>
      </w:r>
      <w:r w:rsidR="00002D26" w:rsidRPr="00002D26">
        <w:rPr>
          <w:sz w:val="24"/>
          <w:szCs w:val="24"/>
        </w:rPr>
        <w:t xml:space="preserve">re </w:t>
      </w:r>
      <w:r>
        <w:rPr>
          <w:sz w:val="24"/>
          <w:szCs w:val="24"/>
        </w:rPr>
        <w:t xml:space="preserve">supporting </w:t>
      </w:r>
      <w:r w:rsidR="006A6C39" w:rsidRPr="00002D26">
        <w:rPr>
          <w:sz w:val="24"/>
          <w:szCs w:val="24"/>
        </w:rPr>
        <w:t>documentation is sufficient, accounting is accurate, all programmatic and fiscal progress reports have been filed</w:t>
      </w:r>
      <w:r w:rsidR="00002D26">
        <w:rPr>
          <w:sz w:val="24"/>
          <w:szCs w:val="24"/>
        </w:rPr>
        <w:t>, and</w:t>
      </w:r>
      <w:r w:rsidR="006A6C39" w:rsidRPr="00002D26">
        <w:rPr>
          <w:sz w:val="24"/>
          <w:szCs w:val="24"/>
        </w:rPr>
        <w:t xml:space="preserve"> review</w:t>
      </w:r>
      <w:r w:rsidR="00002D26">
        <w:rPr>
          <w:sz w:val="24"/>
          <w:szCs w:val="24"/>
        </w:rPr>
        <w:t>s</w:t>
      </w:r>
      <w:r w:rsidR="006A6C39" w:rsidRPr="00002D26">
        <w:rPr>
          <w:sz w:val="24"/>
          <w:szCs w:val="24"/>
        </w:rPr>
        <w:t xml:space="preserve"> all subrecipient payment requests to ensure all costs are allowable. All costs must </w:t>
      </w:r>
      <w:r>
        <w:rPr>
          <w:sz w:val="24"/>
          <w:szCs w:val="24"/>
        </w:rPr>
        <w:t>align with the project budget</w:t>
      </w:r>
      <w:r w:rsidR="006A6C39" w:rsidRPr="00002D26">
        <w:rPr>
          <w:sz w:val="24"/>
          <w:szCs w:val="24"/>
        </w:rPr>
        <w:t xml:space="preserve">. They must conform to federal </w:t>
      </w:r>
      <w:r w:rsidR="006A6C39" w:rsidRPr="00002D26">
        <w:rPr>
          <w:sz w:val="24"/>
          <w:szCs w:val="24"/>
        </w:rPr>
        <w:lastRenderedPageBreak/>
        <w:t>law and grant terms, be consistent with state and local policies, be adequately documented</w:t>
      </w:r>
      <w:r>
        <w:rPr>
          <w:sz w:val="24"/>
          <w:szCs w:val="24"/>
        </w:rPr>
        <w:t>,</w:t>
      </w:r>
      <w:r w:rsidR="006A6C39" w:rsidRPr="00002D26">
        <w:rPr>
          <w:sz w:val="24"/>
          <w:szCs w:val="24"/>
        </w:rPr>
        <w:t xml:space="preserve"> and not included as match.</w:t>
      </w:r>
    </w:p>
    <w:p w:rsidR="00002D26" w:rsidRPr="00002D26" w:rsidRDefault="00002D26" w:rsidP="006A6C39">
      <w:pPr>
        <w:numPr>
          <w:ilvl w:val="0"/>
          <w:numId w:val="9"/>
        </w:numPr>
        <w:tabs>
          <w:tab w:val="num" w:pos="1080"/>
        </w:tabs>
        <w:rPr>
          <w:sz w:val="24"/>
          <w:szCs w:val="24"/>
        </w:rPr>
      </w:pPr>
      <w:r>
        <w:rPr>
          <w:sz w:val="24"/>
          <w:szCs w:val="24"/>
        </w:rPr>
        <w:t>The grant administrator forwards the request to the Administrative Manager.</w:t>
      </w:r>
    </w:p>
    <w:p w:rsidR="006A6C39" w:rsidRDefault="006A6C39" w:rsidP="006A6C39">
      <w:pPr>
        <w:numPr>
          <w:ilvl w:val="0"/>
          <w:numId w:val="9"/>
        </w:numPr>
        <w:rPr>
          <w:sz w:val="24"/>
          <w:szCs w:val="24"/>
        </w:rPr>
      </w:pPr>
      <w:r w:rsidRPr="00002D26">
        <w:rPr>
          <w:sz w:val="24"/>
          <w:szCs w:val="24"/>
        </w:rPr>
        <w:t>The Administrative Manager reviews reimbursement request</w:t>
      </w:r>
      <w:r w:rsidR="00995DE1">
        <w:rPr>
          <w:sz w:val="24"/>
          <w:szCs w:val="24"/>
        </w:rPr>
        <w:t>s</w:t>
      </w:r>
      <w:r w:rsidRPr="00002D26">
        <w:rPr>
          <w:sz w:val="24"/>
          <w:szCs w:val="24"/>
        </w:rPr>
        <w:t>, signs them as approved and provides a copy to the grant administrator.</w:t>
      </w:r>
    </w:p>
    <w:p w:rsidR="00334D2D" w:rsidRPr="00334D2D" w:rsidRDefault="00334D2D" w:rsidP="00334D2D">
      <w:pPr>
        <w:pStyle w:val="ListParagraph"/>
        <w:numPr>
          <w:ilvl w:val="0"/>
          <w:numId w:val="9"/>
        </w:numPr>
        <w:rPr>
          <w:sz w:val="24"/>
          <w:szCs w:val="24"/>
        </w:rPr>
      </w:pPr>
      <w:r w:rsidRPr="00334D2D">
        <w:rPr>
          <w:sz w:val="24"/>
          <w:szCs w:val="24"/>
        </w:rPr>
        <w:t xml:space="preserve">The Administrative Manager prepares grant worksheets, attaches reimbursement requests and gives them to the </w:t>
      </w:r>
      <w:r>
        <w:rPr>
          <w:sz w:val="24"/>
          <w:szCs w:val="24"/>
        </w:rPr>
        <w:t>f</w:t>
      </w:r>
      <w:r w:rsidRPr="00334D2D">
        <w:rPr>
          <w:sz w:val="24"/>
          <w:szCs w:val="24"/>
        </w:rPr>
        <w:t xml:space="preserve">inancial </w:t>
      </w:r>
      <w:r>
        <w:rPr>
          <w:sz w:val="24"/>
          <w:szCs w:val="24"/>
        </w:rPr>
        <w:t>a</w:t>
      </w:r>
      <w:r w:rsidRPr="00334D2D">
        <w:rPr>
          <w:sz w:val="24"/>
          <w:szCs w:val="24"/>
        </w:rPr>
        <w:t xml:space="preserve">dministrative </w:t>
      </w:r>
      <w:r>
        <w:rPr>
          <w:sz w:val="24"/>
          <w:szCs w:val="24"/>
        </w:rPr>
        <w:t>a</w:t>
      </w:r>
      <w:r w:rsidRPr="00334D2D">
        <w:rPr>
          <w:sz w:val="24"/>
          <w:szCs w:val="24"/>
        </w:rPr>
        <w:t>ssistant to be processed in the state financial system for payment.</w:t>
      </w:r>
    </w:p>
    <w:p w:rsidR="006A6C39" w:rsidRPr="00002D26" w:rsidRDefault="00002D26" w:rsidP="006A6C39">
      <w:pPr>
        <w:numPr>
          <w:ilvl w:val="0"/>
          <w:numId w:val="9"/>
        </w:numPr>
        <w:rPr>
          <w:sz w:val="24"/>
          <w:szCs w:val="24"/>
        </w:rPr>
      </w:pPr>
      <w:r>
        <w:rPr>
          <w:sz w:val="24"/>
          <w:szCs w:val="24"/>
        </w:rPr>
        <w:t xml:space="preserve">The </w:t>
      </w:r>
      <w:r w:rsidR="006A6C39" w:rsidRPr="00002D26">
        <w:rPr>
          <w:sz w:val="24"/>
          <w:szCs w:val="24"/>
        </w:rPr>
        <w:t>Administrative Manager draws down funds utilizing the federal Grant Payment Request System (GPRS) to cover reimbursements, only drawing funds to cover immediate reimbursements as per OJP Financial Guide.</w:t>
      </w:r>
    </w:p>
    <w:p w:rsidR="006A6C39" w:rsidRPr="00002D26" w:rsidRDefault="006A6C39" w:rsidP="006A6C39">
      <w:pPr>
        <w:numPr>
          <w:ilvl w:val="0"/>
          <w:numId w:val="9"/>
        </w:numPr>
        <w:rPr>
          <w:sz w:val="24"/>
          <w:szCs w:val="24"/>
        </w:rPr>
      </w:pPr>
      <w:r w:rsidRPr="00002D26">
        <w:rPr>
          <w:sz w:val="24"/>
          <w:szCs w:val="24"/>
        </w:rPr>
        <w:t xml:space="preserve">Worksheets for drawing funds are sent to the </w:t>
      </w:r>
      <w:r w:rsidR="00334D2D">
        <w:rPr>
          <w:sz w:val="24"/>
          <w:szCs w:val="24"/>
        </w:rPr>
        <w:t>Central Management Office</w:t>
      </w:r>
      <w:r w:rsidRPr="00002D26">
        <w:rPr>
          <w:sz w:val="24"/>
          <w:szCs w:val="24"/>
        </w:rPr>
        <w:t xml:space="preserve"> to be deposited into the appropriate accounts within RIFANS once the funds are transferred to the State.</w:t>
      </w:r>
    </w:p>
    <w:p w:rsidR="006A6C39" w:rsidRPr="00002D26" w:rsidRDefault="006A6C39" w:rsidP="006A6C39">
      <w:pPr>
        <w:numPr>
          <w:ilvl w:val="0"/>
          <w:numId w:val="9"/>
        </w:numPr>
        <w:rPr>
          <w:sz w:val="24"/>
          <w:szCs w:val="24"/>
        </w:rPr>
      </w:pPr>
      <w:r w:rsidRPr="00002D26">
        <w:rPr>
          <w:sz w:val="24"/>
          <w:szCs w:val="24"/>
        </w:rPr>
        <w:t>After processing the reimbursement requests in the financial system and forwarding the documentation to the Office for Accounts and Control for actual payment, copies of the payment requests are returned to the Administrative Manager.</w:t>
      </w:r>
    </w:p>
    <w:p w:rsidR="006A6C39" w:rsidRPr="00002D26" w:rsidRDefault="006A6C39" w:rsidP="006A6C39">
      <w:pPr>
        <w:numPr>
          <w:ilvl w:val="0"/>
          <w:numId w:val="9"/>
        </w:numPr>
        <w:rPr>
          <w:sz w:val="24"/>
          <w:szCs w:val="24"/>
        </w:rPr>
      </w:pPr>
      <w:r w:rsidRPr="00002D26">
        <w:rPr>
          <w:sz w:val="24"/>
          <w:szCs w:val="24"/>
        </w:rPr>
        <w:t>The Administrative Manager updates the ledgers for each grant, documenting actual expenditures, local match, and program income, if applicable</w:t>
      </w:r>
    </w:p>
    <w:p w:rsidR="006A6C39" w:rsidRPr="00002D26" w:rsidRDefault="006A6C39" w:rsidP="006A6C39">
      <w:pPr>
        <w:numPr>
          <w:ilvl w:val="0"/>
          <w:numId w:val="9"/>
        </w:numPr>
        <w:rPr>
          <w:sz w:val="24"/>
          <w:szCs w:val="24"/>
        </w:rPr>
      </w:pPr>
      <w:r w:rsidRPr="00002D26">
        <w:rPr>
          <w:sz w:val="24"/>
          <w:szCs w:val="24"/>
        </w:rPr>
        <w:t>Quarterly, the Administrative Manager prepares the Federal Financial Reports SF-425 from the payment requests that have been processed, reporting actual funds spent, ledgers. The summary information will include matching funds and indirect costs for the reporting period as well as program income cumulatively. The SF-425 reports will be filed through the Grant Management System (GMS) within 30 days after the last day of each quarter.</w:t>
      </w:r>
    </w:p>
    <w:p w:rsidR="006A6C39" w:rsidRPr="00002D26" w:rsidRDefault="006A6C39" w:rsidP="006A6C39">
      <w:pPr>
        <w:numPr>
          <w:ilvl w:val="0"/>
          <w:numId w:val="9"/>
        </w:numPr>
        <w:rPr>
          <w:sz w:val="24"/>
          <w:szCs w:val="24"/>
        </w:rPr>
      </w:pPr>
      <w:r w:rsidRPr="00002D26">
        <w:rPr>
          <w:sz w:val="24"/>
          <w:szCs w:val="24"/>
        </w:rPr>
        <w:t>Backup documentation for all funds drawn down are attached to the quarterly FFR and filed in the financial folder for the grant program involved.</w:t>
      </w:r>
    </w:p>
    <w:p w:rsidR="006A6C39" w:rsidRPr="00002D26" w:rsidRDefault="006A6C39" w:rsidP="006A6C39">
      <w:pPr>
        <w:numPr>
          <w:ilvl w:val="0"/>
          <w:numId w:val="9"/>
        </w:numPr>
        <w:rPr>
          <w:sz w:val="24"/>
          <w:szCs w:val="24"/>
        </w:rPr>
      </w:pPr>
      <w:r w:rsidRPr="00002D26">
        <w:rPr>
          <w:sz w:val="24"/>
          <w:szCs w:val="24"/>
        </w:rPr>
        <w:t>After filing the Federal Financial Reports, the payment requests are returned to the Financial Administrative Assistant to reconcile the financial folders with the ledgers</w:t>
      </w:r>
    </w:p>
    <w:p w:rsidR="006A6C39" w:rsidRPr="00002D26" w:rsidRDefault="006A6C39" w:rsidP="006A6C39">
      <w:pPr>
        <w:rPr>
          <w:sz w:val="24"/>
          <w:szCs w:val="24"/>
        </w:rPr>
      </w:pPr>
      <w:bookmarkStart w:id="29" w:name="_GoBack"/>
      <w:bookmarkEnd w:id="29"/>
    </w:p>
    <w:p w:rsidR="00B52E1B" w:rsidRDefault="00DF1623" w:rsidP="008E52DC">
      <w:pPr>
        <w:pStyle w:val="Heading1"/>
        <w:jc w:val="center"/>
      </w:pPr>
      <w:bookmarkStart w:id="30" w:name="_Toc8299908"/>
      <w:r>
        <w:lastRenderedPageBreak/>
        <w:t>SUBGRANT MONITORING</w:t>
      </w:r>
      <w:bookmarkEnd w:id="30"/>
    </w:p>
    <w:p w:rsidR="00DF1623" w:rsidRDefault="00DF1623" w:rsidP="00FB148A">
      <w:pPr>
        <w:pStyle w:val="Heading2"/>
      </w:pPr>
      <w:bookmarkStart w:id="31" w:name="_Toc8299909"/>
      <w:r>
        <w:t>Purpose</w:t>
      </w:r>
      <w:bookmarkEnd w:id="31"/>
    </w:p>
    <w:p w:rsidR="00DF1623" w:rsidRDefault="00B97F87" w:rsidP="00DF1623">
      <w:pPr>
        <w:rPr>
          <w:rFonts w:cstheme="minorHAnsi"/>
          <w:sz w:val="24"/>
          <w:szCs w:val="24"/>
        </w:rPr>
      </w:pPr>
      <w:r>
        <w:rPr>
          <w:rFonts w:cstheme="minorHAnsi"/>
          <w:sz w:val="24"/>
          <w:szCs w:val="24"/>
        </w:rPr>
        <w:tab/>
      </w:r>
      <w:r w:rsidR="00DF1623">
        <w:rPr>
          <w:rFonts w:cstheme="minorHAnsi"/>
          <w:sz w:val="24"/>
          <w:szCs w:val="24"/>
        </w:rPr>
        <w:t xml:space="preserve">Federal grants are subject to a variety of rules and regulations.  The PSGAO monitors all </w:t>
      </w:r>
      <w:r w:rsidR="000C0F6C">
        <w:rPr>
          <w:rFonts w:cstheme="minorHAnsi"/>
          <w:sz w:val="24"/>
          <w:szCs w:val="24"/>
        </w:rPr>
        <w:t>subrecipient</w:t>
      </w:r>
      <w:r w:rsidR="005A0FDC">
        <w:rPr>
          <w:rFonts w:cstheme="minorHAnsi"/>
          <w:sz w:val="24"/>
          <w:szCs w:val="24"/>
        </w:rPr>
        <w:t>s</w:t>
      </w:r>
      <w:r w:rsidR="00DF1623">
        <w:rPr>
          <w:rFonts w:cstheme="minorHAnsi"/>
          <w:sz w:val="24"/>
          <w:szCs w:val="24"/>
        </w:rPr>
        <w:t xml:space="preserve"> to ensure grant funds are </w:t>
      </w:r>
      <w:r w:rsidR="00995DE1">
        <w:rPr>
          <w:rFonts w:cstheme="minorHAnsi"/>
          <w:sz w:val="24"/>
          <w:szCs w:val="24"/>
        </w:rPr>
        <w:t xml:space="preserve">used </w:t>
      </w:r>
      <w:r w:rsidR="00DF1623">
        <w:rPr>
          <w:rFonts w:cstheme="minorHAnsi"/>
          <w:sz w:val="24"/>
          <w:szCs w:val="24"/>
        </w:rPr>
        <w:t xml:space="preserve">pursuant to the relevant federal standards and any </w:t>
      </w:r>
      <w:r w:rsidR="00995DE1">
        <w:rPr>
          <w:rFonts w:cstheme="minorHAnsi"/>
          <w:sz w:val="24"/>
          <w:szCs w:val="24"/>
        </w:rPr>
        <w:t xml:space="preserve">applicable </w:t>
      </w:r>
      <w:r w:rsidR="00DF1623">
        <w:rPr>
          <w:rFonts w:cstheme="minorHAnsi"/>
          <w:sz w:val="24"/>
          <w:szCs w:val="24"/>
        </w:rPr>
        <w:t>special conditions.</w:t>
      </w:r>
      <w:r>
        <w:rPr>
          <w:rFonts w:cstheme="minorHAnsi"/>
          <w:sz w:val="24"/>
          <w:szCs w:val="24"/>
        </w:rPr>
        <w:t xml:space="preserve">  During the course of a grant’s lifecycle, PSGAO grant administrators will maintain regular contact with sub</w:t>
      </w:r>
      <w:r w:rsidR="003207E9">
        <w:rPr>
          <w:rFonts w:cstheme="minorHAnsi"/>
          <w:sz w:val="24"/>
          <w:szCs w:val="24"/>
        </w:rPr>
        <w:t>recipients</w:t>
      </w:r>
      <w:r>
        <w:rPr>
          <w:rFonts w:cstheme="minorHAnsi"/>
          <w:sz w:val="24"/>
          <w:szCs w:val="24"/>
        </w:rPr>
        <w:t>. Grant administrators will monitor and review multiple components of a sub</w:t>
      </w:r>
      <w:r w:rsidR="00676C82">
        <w:rPr>
          <w:rFonts w:cstheme="minorHAnsi"/>
          <w:sz w:val="24"/>
          <w:szCs w:val="24"/>
        </w:rPr>
        <w:t>recipient’s</w:t>
      </w:r>
      <w:r>
        <w:rPr>
          <w:rFonts w:cstheme="minorHAnsi"/>
          <w:sz w:val="24"/>
          <w:szCs w:val="24"/>
        </w:rPr>
        <w:t xml:space="preserve"> program, including:</w:t>
      </w:r>
    </w:p>
    <w:p w:rsidR="00B97F87" w:rsidRDefault="00B97F87" w:rsidP="00B97F87">
      <w:pPr>
        <w:pStyle w:val="ListParagraph"/>
        <w:numPr>
          <w:ilvl w:val="0"/>
          <w:numId w:val="1"/>
        </w:numPr>
        <w:rPr>
          <w:rFonts w:cstheme="minorHAnsi"/>
          <w:sz w:val="24"/>
          <w:szCs w:val="24"/>
        </w:rPr>
      </w:pPr>
      <w:r>
        <w:rPr>
          <w:rFonts w:cstheme="minorHAnsi"/>
          <w:sz w:val="24"/>
          <w:szCs w:val="24"/>
        </w:rPr>
        <w:t>Organizational operations</w:t>
      </w:r>
    </w:p>
    <w:p w:rsidR="00B97F87" w:rsidRDefault="00B97F87" w:rsidP="00B97F87">
      <w:pPr>
        <w:pStyle w:val="ListParagraph"/>
        <w:numPr>
          <w:ilvl w:val="0"/>
          <w:numId w:val="1"/>
        </w:numPr>
        <w:rPr>
          <w:rFonts w:cstheme="minorHAnsi"/>
          <w:sz w:val="24"/>
          <w:szCs w:val="24"/>
        </w:rPr>
      </w:pPr>
      <w:r>
        <w:rPr>
          <w:rFonts w:cstheme="minorHAnsi"/>
          <w:sz w:val="24"/>
          <w:szCs w:val="24"/>
        </w:rPr>
        <w:t>Internal controls and reporting</w:t>
      </w:r>
    </w:p>
    <w:p w:rsidR="00B97F87" w:rsidRDefault="00B97F87" w:rsidP="00B97F87">
      <w:pPr>
        <w:pStyle w:val="ListParagraph"/>
        <w:numPr>
          <w:ilvl w:val="0"/>
          <w:numId w:val="1"/>
        </w:numPr>
        <w:rPr>
          <w:rFonts w:cstheme="minorHAnsi"/>
          <w:sz w:val="24"/>
          <w:szCs w:val="24"/>
        </w:rPr>
      </w:pPr>
      <w:r>
        <w:rPr>
          <w:rFonts w:cstheme="minorHAnsi"/>
          <w:sz w:val="24"/>
          <w:szCs w:val="24"/>
        </w:rPr>
        <w:t>Policies and procedures</w:t>
      </w:r>
    </w:p>
    <w:p w:rsidR="00B97F87" w:rsidRDefault="00B97F87" w:rsidP="00B97F87">
      <w:pPr>
        <w:pStyle w:val="ListParagraph"/>
        <w:numPr>
          <w:ilvl w:val="0"/>
          <w:numId w:val="1"/>
        </w:numPr>
        <w:rPr>
          <w:rFonts w:cstheme="minorHAnsi"/>
          <w:sz w:val="24"/>
          <w:szCs w:val="24"/>
        </w:rPr>
      </w:pPr>
      <w:r>
        <w:rPr>
          <w:rFonts w:cstheme="minorHAnsi"/>
          <w:sz w:val="24"/>
          <w:szCs w:val="24"/>
        </w:rPr>
        <w:t>Financial reports</w:t>
      </w:r>
    </w:p>
    <w:p w:rsidR="00BF3784" w:rsidRDefault="00BF3784" w:rsidP="00BF3784">
      <w:pPr>
        <w:pStyle w:val="ListParagraph"/>
        <w:numPr>
          <w:ilvl w:val="0"/>
          <w:numId w:val="1"/>
        </w:numPr>
        <w:rPr>
          <w:rFonts w:cstheme="minorHAnsi"/>
          <w:sz w:val="24"/>
          <w:szCs w:val="24"/>
        </w:rPr>
      </w:pPr>
      <w:r>
        <w:rPr>
          <w:rFonts w:cstheme="minorHAnsi"/>
          <w:sz w:val="24"/>
          <w:szCs w:val="24"/>
        </w:rPr>
        <w:t>Programmatic records</w:t>
      </w:r>
    </w:p>
    <w:p w:rsidR="00BF3784" w:rsidRDefault="00BF3784" w:rsidP="00BF3784">
      <w:pPr>
        <w:rPr>
          <w:rFonts w:cstheme="minorHAnsi"/>
          <w:sz w:val="24"/>
          <w:szCs w:val="24"/>
        </w:rPr>
      </w:pPr>
      <w:r>
        <w:rPr>
          <w:rFonts w:cstheme="minorHAnsi"/>
          <w:sz w:val="24"/>
          <w:szCs w:val="24"/>
        </w:rPr>
        <w:t>Grant administrators review all sub</w:t>
      </w:r>
      <w:r w:rsidR="00676C82">
        <w:rPr>
          <w:rFonts w:cstheme="minorHAnsi"/>
          <w:sz w:val="24"/>
          <w:szCs w:val="24"/>
        </w:rPr>
        <w:t>recipients</w:t>
      </w:r>
      <w:r>
        <w:rPr>
          <w:rFonts w:cstheme="minorHAnsi"/>
          <w:sz w:val="24"/>
          <w:szCs w:val="24"/>
        </w:rPr>
        <w:t xml:space="preserve"> with two major categories in mind:  programmatic and financial.  Programmatic refers to whether the sub</w:t>
      </w:r>
      <w:r w:rsidR="00676C82">
        <w:rPr>
          <w:rFonts w:cstheme="minorHAnsi"/>
          <w:sz w:val="24"/>
          <w:szCs w:val="24"/>
        </w:rPr>
        <w:t>recipient</w:t>
      </w:r>
      <w:r>
        <w:rPr>
          <w:rFonts w:cstheme="minorHAnsi"/>
          <w:sz w:val="24"/>
          <w:szCs w:val="24"/>
        </w:rPr>
        <w:t xml:space="preserve"> is </w:t>
      </w:r>
      <w:r w:rsidR="00167AAB">
        <w:rPr>
          <w:rFonts w:cstheme="minorHAnsi"/>
          <w:sz w:val="24"/>
          <w:szCs w:val="24"/>
        </w:rPr>
        <w:t xml:space="preserve">implementing their plan according to their initial application and whether the plan is effective.  For example, in a program designed to provide direct services to victims, grant administrators will review how many victims were served, with what services, and how it relates to the initial grant application.  Financial questions relate to whether grant funds are being used in accordance with federal guidelines and ensuring that </w:t>
      </w:r>
      <w:r w:rsidR="000C0F6C">
        <w:rPr>
          <w:rFonts w:cstheme="minorHAnsi"/>
          <w:sz w:val="24"/>
          <w:szCs w:val="24"/>
        </w:rPr>
        <w:t>subrecipient</w:t>
      </w:r>
      <w:r w:rsidR="00167AAB">
        <w:rPr>
          <w:rFonts w:cstheme="minorHAnsi"/>
          <w:sz w:val="24"/>
          <w:szCs w:val="24"/>
        </w:rPr>
        <w:t>s keep clear and accurate records.</w:t>
      </w:r>
    </w:p>
    <w:p w:rsidR="008E52DC" w:rsidRDefault="008E52DC" w:rsidP="00BF3784">
      <w:pPr>
        <w:rPr>
          <w:rFonts w:cstheme="minorHAnsi"/>
          <w:sz w:val="24"/>
          <w:szCs w:val="24"/>
        </w:rPr>
      </w:pPr>
      <w:r>
        <w:rPr>
          <w:rFonts w:cstheme="minorHAnsi"/>
          <w:sz w:val="24"/>
          <w:szCs w:val="24"/>
        </w:rPr>
        <w:tab/>
      </w:r>
      <w:r w:rsidRPr="008E52DC">
        <w:rPr>
          <w:rFonts w:cstheme="minorHAnsi"/>
          <w:sz w:val="24"/>
          <w:szCs w:val="24"/>
        </w:rPr>
        <w:t xml:space="preserve">Grant administrators will review all requests for reimbursement for accuracy, clarity, compliance with the original budget, and adherence to </w:t>
      </w:r>
      <w:r w:rsidR="00756CC2">
        <w:rPr>
          <w:rFonts w:cstheme="minorHAnsi"/>
          <w:sz w:val="24"/>
          <w:szCs w:val="24"/>
        </w:rPr>
        <w:t>f</w:t>
      </w:r>
      <w:r w:rsidRPr="008E52DC">
        <w:rPr>
          <w:rFonts w:cstheme="minorHAnsi"/>
          <w:sz w:val="24"/>
          <w:szCs w:val="24"/>
        </w:rPr>
        <w:t>ederal standards.  Subrecipients shall not be reimbursed until reviewed by a basic desk audit.</w:t>
      </w:r>
    </w:p>
    <w:p w:rsidR="00586CF6" w:rsidRDefault="00586CF6" w:rsidP="00BF3784">
      <w:pPr>
        <w:rPr>
          <w:rFonts w:cstheme="minorHAnsi"/>
          <w:sz w:val="24"/>
          <w:szCs w:val="24"/>
        </w:rPr>
      </w:pPr>
    </w:p>
    <w:p w:rsidR="00586CF6" w:rsidRPr="0061334F" w:rsidRDefault="002A1D9A" w:rsidP="00FB148A">
      <w:pPr>
        <w:pStyle w:val="Heading2"/>
      </w:pPr>
      <w:bookmarkStart w:id="32" w:name="_Toc8299910"/>
      <w:r>
        <w:t xml:space="preserve">Pre-Award </w:t>
      </w:r>
      <w:r w:rsidR="004F4B2A">
        <w:t>R</w:t>
      </w:r>
      <w:r w:rsidR="005A6809" w:rsidRPr="0061334F">
        <w:t xml:space="preserve">isk </w:t>
      </w:r>
      <w:r w:rsidR="004F4B2A">
        <w:t>A</w:t>
      </w:r>
      <w:r w:rsidR="005A6809" w:rsidRPr="0061334F">
        <w:t>ssessment</w:t>
      </w:r>
      <w:bookmarkEnd w:id="32"/>
    </w:p>
    <w:p w:rsidR="0061334F" w:rsidRPr="0061334F" w:rsidRDefault="0061334F" w:rsidP="0061334F">
      <w:pPr>
        <w:rPr>
          <w:sz w:val="24"/>
          <w:szCs w:val="24"/>
          <w:highlight w:val="yellow"/>
        </w:rPr>
      </w:pPr>
      <w:r w:rsidRPr="0061334F">
        <w:rPr>
          <w:sz w:val="24"/>
          <w:szCs w:val="24"/>
        </w:rPr>
        <w:tab/>
        <w:t>A program receives a risk value based on circumstances of the grant, past performance, individual situations, information gathered during the application or monitoring process and other criteria deemed relevent by the grant administrator. Criteria that may be considered are the applicant’s organizational financial stability; applicant’s quality of management systems and ability to meet guidance management standards, applicant’s performance history, applicant’s audit reports and findings. Utilizing a risk assessment tool</w:t>
      </w:r>
      <w:r w:rsidR="004F4B2A">
        <w:rPr>
          <w:sz w:val="24"/>
          <w:szCs w:val="24"/>
        </w:rPr>
        <w:t>,</w:t>
      </w:r>
      <w:r w:rsidRPr="0061334F">
        <w:rPr>
          <w:sz w:val="24"/>
          <w:szCs w:val="24"/>
        </w:rPr>
        <w:t xml:space="preserve"> a program is given a numeric value which will indicate if the program is high risk, medium risk or low risk</w:t>
      </w:r>
      <w:r w:rsidR="002A1D9A">
        <w:rPr>
          <w:sz w:val="24"/>
          <w:szCs w:val="24"/>
        </w:rPr>
        <w:t>.</w:t>
      </w:r>
    </w:p>
    <w:p w:rsidR="005A6809" w:rsidRPr="0061334F" w:rsidRDefault="0061334F" w:rsidP="0061334F">
      <w:pPr>
        <w:rPr>
          <w:sz w:val="24"/>
          <w:szCs w:val="24"/>
        </w:rPr>
      </w:pPr>
      <w:r w:rsidRPr="0061334F">
        <w:rPr>
          <w:sz w:val="24"/>
          <w:szCs w:val="24"/>
        </w:rPr>
        <w:tab/>
      </w:r>
      <w:r w:rsidR="008D34A5" w:rsidRPr="0061334F">
        <w:rPr>
          <w:sz w:val="24"/>
          <w:szCs w:val="24"/>
        </w:rPr>
        <w:t xml:space="preserve">The </w:t>
      </w:r>
      <w:r w:rsidR="004F4B2A">
        <w:rPr>
          <w:sz w:val="24"/>
          <w:szCs w:val="24"/>
        </w:rPr>
        <w:t>grant administrator</w:t>
      </w:r>
      <w:r w:rsidR="008D34A5" w:rsidRPr="0061334F">
        <w:rPr>
          <w:sz w:val="24"/>
          <w:szCs w:val="24"/>
        </w:rPr>
        <w:t xml:space="preserve"> will complete a risk-based desk audit on all new awards at the end of the first quarter.  A low risk will have a score of 0 – 3 and will only require a site visit during the period of performance.  A medium risk will have a score of 4 – 8 and will require the site visit be done within a </w:t>
      </w:r>
      <w:r w:rsidR="004F4B2A" w:rsidRPr="0061334F">
        <w:rPr>
          <w:sz w:val="24"/>
          <w:szCs w:val="24"/>
        </w:rPr>
        <w:t>two-month</w:t>
      </w:r>
      <w:r w:rsidR="008D34A5" w:rsidRPr="0061334F">
        <w:rPr>
          <w:sz w:val="24"/>
          <w:szCs w:val="24"/>
        </w:rPr>
        <w:t xml:space="preserve"> time frame.  A high risk will have a score of 9 + and will require a site visit to occur within two to four weeks.  </w:t>
      </w:r>
    </w:p>
    <w:p w:rsidR="00A81A9A" w:rsidRDefault="00A81A9A" w:rsidP="00BF3784">
      <w:pPr>
        <w:rPr>
          <w:rFonts w:cstheme="minorHAnsi"/>
          <w:sz w:val="24"/>
          <w:szCs w:val="24"/>
        </w:rPr>
      </w:pPr>
      <w:r>
        <w:rPr>
          <w:rFonts w:cstheme="minorHAnsi"/>
          <w:b/>
          <w:sz w:val="24"/>
          <w:szCs w:val="24"/>
        </w:rPr>
        <w:lastRenderedPageBreak/>
        <w:tab/>
      </w:r>
      <w:r w:rsidRPr="00A81A9A">
        <w:rPr>
          <w:rFonts w:cstheme="minorHAnsi"/>
          <w:sz w:val="24"/>
          <w:szCs w:val="24"/>
        </w:rPr>
        <w:t xml:space="preserve">The </w:t>
      </w:r>
      <w:r>
        <w:rPr>
          <w:rFonts w:cstheme="minorHAnsi"/>
          <w:sz w:val="24"/>
          <w:szCs w:val="24"/>
        </w:rPr>
        <w:t xml:space="preserve">PSGAO uses </w:t>
      </w:r>
      <w:r w:rsidR="00DD4E6E">
        <w:rPr>
          <w:rFonts w:cstheme="minorHAnsi"/>
          <w:sz w:val="24"/>
          <w:szCs w:val="24"/>
        </w:rPr>
        <w:t xml:space="preserve">the </w:t>
      </w:r>
      <w:r w:rsidR="00D61A73">
        <w:rPr>
          <w:rFonts w:cstheme="minorHAnsi"/>
          <w:sz w:val="24"/>
          <w:szCs w:val="24"/>
        </w:rPr>
        <w:t xml:space="preserve">Pre-Award Risk Assessment to determine the initial level of monitoring for all new awards.  </w:t>
      </w:r>
      <w:r w:rsidR="008E52DC">
        <w:rPr>
          <w:rFonts w:cstheme="minorHAnsi"/>
          <w:sz w:val="24"/>
          <w:szCs w:val="24"/>
        </w:rPr>
        <w:t xml:space="preserve">High risk </w:t>
      </w:r>
      <w:r w:rsidR="000C0F6C">
        <w:rPr>
          <w:rFonts w:cstheme="minorHAnsi"/>
          <w:sz w:val="24"/>
          <w:szCs w:val="24"/>
        </w:rPr>
        <w:t>subrecipient</w:t>
      </w:r>
      <w:r w:rsidR="008E52DC">
        <w:rPr>
          <w:rFonts w:cstheme="minorHAnsi"/>
          <w:sz w:val="24"/>
          <w:szCs w:val="24"/>
        </w:rPr>
        <w:t xml:space="preserve">s will be subject to </w:t>
      </w:r>
      <w:r w:rsidR="002A1D9A">
        <w:rPr>
          <w:rFonts w:cstheme="minorHAnsi"/>
          <w:sz w:val="24"/>
          <w:szCs w:val="24"/>
        </w:rPr>
        <w:t xml:space="preserve">initial </w:t>
      </w:r>
      <w:r w:rsidR="00190285">
        <w:rPr>
          <w:rFonts w:cstheme="minorHAnsi"/>
          <w:sz w:val="24"/>
          <w:szCs w:val="24"/>
        </w:rPr>
        <w:t>L</w:t>
      </w:r>
      <w:r w:rsidR="008E52DC">
        <w:rPr>
          <w:rFonts w:cstheme="minorHAnsi"/>
          <w:sz w:val="24"/>
          <w:szCs w:val="24"/>
        </w:rPr>
        <w:t>evel 2 monitoring</w:t>
      </w:r>
      <w:r w:rsidR="00676C82">
        <w:rPr>
          <w:rFonts w:cstheme="minorHAnsi"/>
          <w:sz w:val="24"/>
          <w:szCs w:val="24"/>
        </w:rPr>
        <w:t xml:space="preserve"> and be subject to additional conditions to monitor the risk</w:t>
      </w:r>
      <w:r w:rsidR="008E52DC">
        <w:rPr>
          <w:rFonts w:cstheme="minorHAnsi"/>
          <w:sz w:val="24"/>
          <w:szCs w:val="24"/>
        </w:rPr>
        <w:t>.</w:t>
      </w:r>
      <w:r w:rsidR="00676C82">
        <w:rPr>
          <w:rFonts w:cstheme="minorHAnsi"/>
          <w:sz w:val="24"/>
          <w:szCs w:val="24"/>
        </w:rPr>
        <w:t xml:space="preserve">  </w:t>
      </w:r>
    </w:p>
    <w:p w:rsidR="00895430" w:rsidRPr="00A81A9A" w:rsidRDefault="00895430" w:rsidP="00BF3784">
      <w:pPr>
        <w:rPr>
          <w:rFonts w:cstheme="minorHAnsi"/>
          <w:sz w:val="24"/>
          <w:szCs w:val="24"/>
        </w:rPr>
      </w:pPr>
    </w:p>
    <w:p w:rsidR="005A6809" w:rsidRDefault="004F4B2A" w:rsidP="00FB148A">
      <w:pPr>
        <w:pStyle w:val="Heading2"/>
      </w:pPr>
      <w:bookmarkStart w:id="33" w:name="_Toc8299911"/>
      <w:r>
        <w:t>Levels</w:t>
      </w:r>
      <w:r w:rsidR="005A6809">
        <w:t xml:space="preserve"> of Monitoring</w:t>
      </w:r>
      <w:bookmarkEnd w:id="33"/>
    </w:p>
    <w:p w:rsidR="005A6809" w:rsidRPr="00B86AA0" w:rsidRDefault="00B32272" w:rsidP="00B86AA0">
      <w:pPr>
        <w:pStyle w:val="Heading3"/>
      </w:pPr>
      <w:bookmarkStart w:id="34" w:name="_Toc8299912"/>
      <w:r w:rsidRPr="00B86AA0">
        <w:t xml:space="preserve">Level </w:t>
      </w:r>
      <w:r w:rsidR="007451B5">
        <w:t>1</w:t>
      </w:r>
      <w:r w:rsidRPr="00B86AA0">
        <w:t xml:space="preserve"> Monitoring</w:t>
      </w:r>
      <w:bookmarkEnd w:id="34"/>
    </w:p>
    <w:p w:rsidR="006F35F7" w:rsidRDefault="00DA5648" w:rsidP="00DA5648">
      <w:pPr>
        <w:rPr>
          <w:rFonts w:cstheme="minorHAnsi"/>
          <w:sz w:val="24"/>
          <w:szCs w:val="24"/>
        </w:rPr>
      </w:pPr>
      <w:r>
        <w:rPr>
          <w:rFonts w:cstheme="minorHAnsi"/>
          <w:sz w:val="24"/>
          <w:szCs w:val="24"/>
        </w:rPr>
        <w:tab/>
      </w:r>
      <w:r w:rsidR="00B86AA0">
        <w:rPr>
          <w:rFonts w:cstheme="minorHAnsi"/>
          <w:sz w:val="24"/>
          <w:szCs w:val="24"/>
        </w:rPr>
        <w:t>Level 1</w:t>
      </w:r>
      <w:r>
        <w:rPr>
          <w:rFonts w:cstheme="minorHAnsi"/>
          <w:sz w:val="24"/>
          <w:szCs w:val="24"/>
        </w:rPr>
        <w:t xml:space="preserve"> </w:t>
      </w:r>
      <w:r w:rsidR="00B86AA0">
        <w:rPr>
          <w:rFonts w:cstheme="minorHAnsi"/>
          <w:sz w:val="24"/>
          <w:szCs w:val="24"/>
        </w:rPr>
        <w:t xml:space="preserve">is the standard monitoring level and </w:t>
      </w:r>
      <w:r>
        <w:rPr>
          <w:rFonts w:cstheme="minorHAnsi"/>
          <w:sz w:val="24"/>
          <w:szCs w:val="24"/>
        </w:rPr>
        <w:t>encompasses the day to day communication between grant administrators and sub</w:t>
      </w:r>
      <w:r w:rsidR="00676C82">
        <w:rPr>
          <w:rFonts w:cstheme="minorHAnsi"/>
          <w:sz w:val="24"/>
          <w:szCs w:val="24"/>
        </w:rPr>
        <w:t>recipient</w:t>
      </w:r>
      <w:r>
        <w:rPr>
          <w:rFonts w:cstheme="minorHAnsi"/>
          <w:sz w:val="24"/>
          <w:szCs w:val="24"/>
        </w:rPr>
        <w:t xml:space="preserve">.  Grant administrators review all incoming reimbursement requests, program updates, and grant modification requests.  The PSGAO will contact the </w:t>
      </w:r>
      <w:r w:rsidR="000C0F6C">
        <w:rPr>
          <w:rFonts w:cstheme="minorHAnsi"/>
          <w:sz w:val="24"/>
          <w:szCs w:val="24"/>
        </w:rPr>
        <w:t>subrecipient</w:t>
      </w:r>
      <w:r>
        <w:rPr>
          <w:rFonts w:cstheme="minorHAnsi"/>
          <w:sz w:val="24"/>
          <w:szCs w:val="24"/>
        </w:rPr>
        <w:t xml:space="preserve"> directly by email </w:t>
      </w:r>
      <w:r w:rsidR="002C784F">
        <w:rPr>
          <w:rFonts w:cstheme="minorHAnsi"/>
          <w:sz w:val="24"/>
          <w:szCs w:val="24"/>
        </w:rPr>
        <w:t xml:space="preserve">or phone </w:t>
      </w:r>
      <w:r>
        <w:rPr>
          <w:rFonts w:cstheme="minorHAnsi"/>
          <w:sz w:val="24"/>
          <w:szCs w:val="24"/>
        </w:rPr>
        <w:t>if there are any discrepancies, irregularities, or other causes of concern in attempt to remedy the issue.</w:t>
      </w:r>
      <w:r w:rsidR="002C784F">
        <w:rPr>
          <w:rFonts w:cstheme="minorHAnsi"/>
          <w:sz w:val="24"/>
          <w:szCs w:val="24"/>
        </w:rPr>
        <w:t xml:space="preserve">  Grant administrators may request additional documentation or updates to previous documentation such as timesheets, policies, or financial records.</w:t>
      </w:r>
      <w:r w:rsidR="009517D3">
        <w:rPr>
          <w:rFonts w:cstheme="minorHAnsi"/>
          <w:sz w:val="24"/>
          <w:szCs w:val="24"/>
        </w:rPr>
        <w:t xml:space="preserve">  This level of monitoring is meant to assist </w:t>
      </w:r>
      <w:r w:rsidR="000C0F6C">
        <w:rPr>
          <w:rFonts w:cstheme="minorHAnsi"/>
          <w:sz w:val="24"/>
          <w:szCs w:val="24"/>
        </w:rPr>
        <w:t>subrecipient</w:t>
      </w:r>
      <w:r w:rsidR="009517D3">
        <w:rPr>
          <w:rFonts w:cstheme="minorHAnsi"/>
          <w:sz w:val="24"/>
          <w:szCs w:val="24"/>
        </w:rPr>
        <w:t>s to comply with relevant regulations</w:t>
      </w:r>
      <w:r w:rsidR="00BD1E68">
        <w:rPr>
          <w:rFonts w:cstheme="minorHAnsi"/>
          <w:sz w:val="24"/>
          <w:szCs w:val="24"/>
        </w:rPr>
        <w:t>.</w:t>
      </w:r>
    </w:p>
    <w:p w:rsidR="00097B34" w:rsidRDefault="003E70D4" w:rsidP="00DA5648">
      <w:pPr>
        <w:rPr>
          <w:rFonts w:cstheme="minorHAnsi"/>
          <w:sz w:val="24"/>
          <w:szCs w:val="24"/>
        </w:rPr>
      </w:pPr>
      <w:r>
        <w:rPr>
          <w:rFonts w:cstheme="minorHAnsi"/>
          <w:sz w:val="24"/>
          <w:szCs w:val="24"/>
        </w:rPr>
        <w:tab/>
        <w:t>Failure to timely comply with any document requests or to adequately address any discrepancies will</w:t>
      </w:r>
      <w:r w:rsidR="00531D0A">
        <w:rPr>
          <w:rFonts w:cstheme="minorHAnsi"/>
          <w:sz w:val="24"/>
          <w:szCs w:val="24"/>
        </w:rPr>
        <w:t xml:space="preserve"> cause the </w:t>
      </w:r>
      <w:r w:rsidR="009517D3">
        <w:rPr>
          <w:rFonts w:cstheme="minorHAnsi"/>
          <w:sz w:val="24"/>
          <w:szCs w:val="24"/>
        </w:rPr>
        <w:t xml:space="preserve">PSGAO </w:t>
      </w:r>
      <w:r w:rsidR="00531D0A">
        <w:rPr>
          <w:rFonts w:cstheme="minorHAnsi"/>
          <w:sz w:val="24"/>
          <w:szCs w:val="24"/>
        </w:rPr>
        <w:t>to</w:t>
      </w:r>
      <w:r w:rsidR="009517D3">
        <w:rPr>
          <w:rFonts w:cstheme="minorHAnsi"/>
          <w:sz w:val="24"/>
          <w:szCs w:val="24"/>
        </w:rPr>
        <w:t xml:space="preserve"> </w:t>
      </w:r>
      <w:r w:rsidR="00891ADF">
        <w:rPr>
          <w:rFonts w:cstheme="minorHAnsi"/>
          <w:sz w:val="24"/>
          <w:szCs w:val="24"/>
        </w:rPr>
        <w:t xml:space="preserve">send a </w:t>
      </w:r>
      <w:r w:rsidR="00190285">
        <w:rPr>
          <w:rFonts w:cstheme="minorHAnsi"/>
          <w:sz w:val="24"/>
          <w:szCs w:val="24"/>
        </w:rPr>
        <w:t>“</w:t>
      </w:r>
      <w:r w:rsidR="00891ADF">
        <w:rPr>
          <w:rFonts w:cstheme="minorHAnsi"/>
          <w:sz w:val="24"/>
          <w:szCs w:val="24"/>
        </w:rPr>
        <w:t xml:space="preserve">Draft </w:t>
      </w:r>
      <w:r w:rsidR="00190285">
        <w:rPr>
          <w:rFonts w:cstheme="minorHAnsi"/>
          <w:sz w:val="24"/>
          <w:szCs w:val="24"/>
        </w:rPr>
        <w:t>Notice of Noncompliance”</w:t>
      </w:r>
      <w:r w:rsidR="001F4493">
        <w:rPr>
          <w:rFonts w:cstheme="minorHAnsi"/>
          <w:sz w:val="24"/>
          <w:szCs w:val="24"/>
        </w:rPr>
        <w:t xml:space="preserve"> </w:t>
      </w:r>
      <w:r w:rsidR="00097B34">
        <w:rPr>
          <w:rFonts w:cstheme="minorHAnsi"/>
          <w:sz w:val="24"/>
          <w:szCs w:val="24"/>
        </w:rPr>
        <w:t xml:space="preserve">to the </w:t>
      </w:r>
      <w:r w:rsidR="00097B34" w:rsidRPr="00725136">
        <w:rPr>
          <w:rFonts w:cstheme="minorHAnsi"/>
          <w:sz w:val="24"/>
          <w:szCs w:val="24"/>
        </w:rPr>
        <w:t>project director</w:t>
      </w:r>
      <w:r w:rsidR="00891ADF" w:rsidRPr="00725136">
        <w:rPr>
          <w:rFonts w:cstheme="minorHAnsi"/>
          <w:sz w:val="24"/>
          <w:szCs w:val="24"/>
        </w:rPr>
        <w:t xml:space="preserve"> </w:t>
      </w:r>
      <w:r w:rsidR="00756CC2">
        <w:rPr>
          <w:rFonts w:cstheme="minorHAnsi"/>
          <w:sz w:val="24"/>
          <w:szCs w:val="24"/>
        </w:rPr>
        <w:t>with</w:t>
      </w:r>
      <w:r w:rsidR="00097B34">
        <w:rPr>
          <w:rFonts w:cstheme="minorHAnsi"/>
          <w:sz w:val="24"/>
          <w:szCs w:val="24"/>
        </w:rPr>
        <w:t xml:space="preserve"> </w:t>
      </w:r>
      <w:r w:rsidR="001F4493">
        <w:rPr>
          <w:rFonts w:cstheme="minorHAnsi"/>
          <w:sz w:val="24"/>
          <w:szCs w:val="24"/>
        </w:rPr>
        <w:t xml:space="preserve">a </w:t>
      </w:r>
      <w:r w:rsidR="00891ADF">
        <w:rPr>
          <w:rFonts w:cstheme="minorHAnsi"/>
          <w:sz w:val="24"/>
          <w:szCs w:val="24"/>
        </w:rPr>
        <w:t>two-week</w:t>
      </w:r>
      <w:r w:rsidR="001F4493">
        <w:rPr>
          <w:rFonts w:cstheme="minorHAnsi"/>
          <w:sz w:val="24"/>
          <w:szCs w:val="24"/>
        </w:rPr>
        <w:t xml:space="preserve"> period in which to </w:t>
      </w:r>
      <w:r w:rsidR="00891ADF">
        <w:rPr>
          <w:rFonts w:cstheme="minorHAnsi"/>
          <w:sz w:val="24"/>
          <w:szCs w:val="24"/>
        </w:rPr>
        <w:t xml:space="preserve">rectify the </w:t>
      </w:r>
      <w:r w:rsidR="00756CC2">
        <w:rPr>
          <w:rFonts w:cstheme="minorHAnsi"/>
          <w:sz w:val="24"/>
          <w:szCs w:val="24"/>
        </w:rPr>
        <w:t>concerns</w:t>
      </w:r>
      <w:r w:rsidR="00891ADF">
        <w:rPr>
          <w:rFonts w:cstheme="minorHAnsi"/>
          <w:sz w:val="24"/>
          <w:szCs w:val="24"/>
        </w:rPr>
        <w:t xml:space="preserve"> prior to the issuance of formal Notice.</w:t>
      </w:r>
    </w:p>
    <w:p w:rsidR="00353A82" w:rsidRDefault="00891ADF" w:rsidP="00DA5648">
      <w:pPr>
        <w:rPr>
          <w:rFonts w:cstheme="minorHAnsi"/>
          <w:sz w:val="24"/>
          <w:szCs w:val="24"/>
        </w:rPr>
      </w:pPr>
      <w:r>
        <w:rPr>
          <w:rFonts w:cstheme="minorHAnsi"/>
          <w:sz w:val="24"/>
          <w:szCs w:val="24"/>
        </w:rPr>
        <w:tab/>
        <w:t xml:space="preserve">The Notice of Noncompliance shall state </w:t>
      </w:r>
      <w:r w:rsidR="001F4493" w:rsidRPr="001F4493">
        <w:rPr>
          <w:rFonts w:cstheme="minorHAnsi"/>
          <w:sz w:val="24"/>
          <w:szCs w:val="24"/>
        </w:rPr>
        <w:t>the cause</w:t>
      </w:r>
      <w:r>
        <w:rPr>
          <w:rFonts w:cstheme="minorHAnsi"/>
          <w:sz w:val="24"/>
          <w:szCs w:val="24"/>
        </w:rPr>
        <w:t>(s)</w:t>
      </w:r>
      <w:r w:rsidR="001F4493" w:rsidRPr="001F4493">
        <w:rPr>
          <w:rFonts w:cstheme="minorHAnsi"/>
          <w:sz w:val="24"/>
          <w:szCs w:val="24"/>
        </w:rPr>
        <w:t xml:space="preserve"> for concern</w:t>
      </w:r>
      <w:r>
        <w:rPr>
          <w:rFonts w:cstheme="minorHAnsi"/>
          <w:sz w:val="24"/>
          <w:szCs w:val="24"/>
        </w:rPr>
        <w:t>,</w:t>
      </w:r>
      <w:r w:rsidR="001F4493" w:rsidRPr="001F4493">
        <w:rPr>
          <w:rFonts w:cstheme="minorHAnsi"/>
          <w:sz w:val="24"/>
          <w:szCs w:val="24"/>
        </w:rPr>
        <w:t xml:space="preserve"> </w:t>
      </w:r>
      <w:r>
        <w:rPr>
          <w:rFonts w:cstheme="minorHAnsi"/>
          <w:sz w:val="24"/>
          <w:szCs w:val="24"/>
        </w:rPr>
        <w:t xml:space="preserve">suggested resolutions, and </w:t>
      </w:r>
      <w:r w:rsidR="001F4493" w:rsidRPr="001F4493">
        <w:rPr>
          <w:rFonts w:cstheme="minorHAnsi"/>
          <w:sz w:val="24"/>
          <w:szCs w:val="24"/>
        </w:rPr>
        <w:t xml:space="preserve">a deadline for compliance, typically within </w:t>
      </w:r>
      <w:r w:rsidR="00495EBC">
        <w:rPr>
          <w:rFonts w:cstheme="minorHAnsi"/>
          <w:sz w:val="24"/>
          <w:szCs w:val="24"/>
        </w:rPr>
        <w:t>45</w:t>
      </w:r>
      <w:r w:rsidR="001F4493" w:rsidRPr="001F4493">
        <w:rPr>
          <w:rFonts w:cstheme="minorHAnsi"/>
          <w:sz w:val="24"/>
          <w:szCs w:val="24"/>
        </w:rPr>
        <w:t xml:space="preserve"> days.  A longer time period may be granted within the discretion of the grant administrator</w:t>
      </w:r>
      <w:r w:rsidR="00676C82">
        <w:rPr>
          <w:rFonts w:cstheme="minorHAnsi"/>
          <w:sz w:val="24"/>
          <w:szCs w:val="24"/>
        </w:rPr>
        <w:t xml:space="preserve"> and is issue dependent</w:t>
      </w:r>
      <w:r w:rsidR="001F4493" w:rsidRPr="001F4493">
        <w:rPr>
          <w:rFonts w:cstheme="minorHAnsi"/>
          <w:sz w:val="24"/>
          <w:szCs w:val="24"/>
        </w:rPr>
        <w:t xml:space="preserve">.  </w:t>
      </w:r>
    </w:p>
    <w:p w:rsidR="006034D7" w:rsidRDefault="006034D7" w:rsidP="00DA5648">
      <w:pPr>
        <w:rPr>
          <w:rFonts w:cstheme="minorHAnsi"/>
          <w:sz w:val="24"/>
          <w:szCs w:val="24"/>
        </w:rPr>
      </w:pPr>
      <w:r>
        <w:rPr>
          <w:rFonts w:cstheme="minorHAnsi"/>
          <w:sz w:val="24"/>
          <w:szCs w:val="24"/>
        </w:rPr>
        <w:tab/>
        <w:t xml:space="preserve">Additionally, repeated requests for </w:t>
      </w:r>
      <w:r w:rsidR="00CB33D7">
        <w:rPr>
          <w:rFonts w:cstheme="minorHAnsi"/>
          <w:sz w:val="24"/>
          <w:szCs w:val="24"/>
        </w:rPr>
        <w:t xml:space="preserve">unallowable expenses will cause, at the discretion of the grant manager, a “Notice of Noncompliance – Unallowable </w:t>
      </w:r>
      <w:r w:rsidR="00756CC2">
        <w:rPr>
          <w:rFonts w:cstheme="minorHAnsi"/>
          <w:sz w:val="24"/>
          <w:szCs w:val="24"/>
        </w:rPr>
        <w:t>E</w:t>
      </w:r>
      <w:r w:rsidR="00CB33D7">
        <w:rPr>
          <w:rFonts w:cstheme="minorHAnsi"/>
          <w:sz w:val="24"/>
          <w:szCs w:val="24"/>
        </w:rPr>
        <w:t xml:space="preserve">xpenses” to be placed in the </w:t>
      </w:r>
      <w:r w:rsidR="00353A82">
        <w:rPr>
          <w:rFonts w:cstheme="minorHAnsi"/>
          <w:sz w:val="24"/>
          <w:szCs w:val="24"/>
        </w:rPr>
        <w:t>general subrecipient</w:t>
      </w:r>
      <w:r w:rsidR="00CB33D7">
        <w:rPr>
          <w:rFonts w:cstheme="minorHAnsi"/>
          <w:sz w:val="24"/>
          <w:szCs w:val="24"/>
        </w:rPr>
        <w:t xml:space="preserve"> file and shall list the dates that unallowable expenses were requested, a description of the requests, and a brief description of the PSGAO’s responses.</w:t>
      </w:r>
    </w:p>
    <w:p w:rsidR="00895430" w:rsidRDefault="00895430" w:rsidP="000043F1">
      <w:pPr>
        <w:pStyle w:val="Heading3"/>
      </w:pPr>
    </w:p>
    <w:p w:rsidR="007451B5" w:rsidRDefault="007451B5" w:rsidP="000043F1">
      <w:pPr>
        <w:pStyle w:val="Heading3"/>
      </w:pPr>
      <w:bookmarkStart w:id="35" w:name="_Toc8299913"/>
      <w:r>
        <w:t>Level 2 Monitoring</w:t>
      </w:r>
      <w:bookmarkEnd w:id="35"/>
    </w:p>
    <w:p w:rsidR="007451B5" w:rsidRDefault="007451B5" w:rsidP="007451B5">
      <w:pPr>
        <w:rPr>
          <w:sz w:val="24"/>
          <w:szCs w:val="24"/>
        </w:rPr>
      </w:pPr>
      <w:r>
        <w:tab/>
      </w:r>
      <w:r w:rsidR="00531D0A" w:rsidRPr="004C4D79">
        <w:rPr>
          <w:sz w:val="24"/>
          <w:szCs w:val="24"/>
        </w:rPr>
        <w:t xml:space="preserve"> If a </w:t>
      </w:r>
      <w:r w:rsidR="00B74B1E">
        <w:rPr>
          <w:sz w:val="24"/>
          <w:szCs w:val="24"/>
        </w:rPr>
        <w:t>subrecipient</w:t>
      </w:r>
      <w:r w:rsidR="00531D0A" w:rsidRPr="004C4D79">
        <w:rPr>
          <w:sz w:val="24"/>
          <w:szCs w:val="24"/>
        </w:rPr>
        <w:t xml:space="preserve"> subsequently fails to address the issue contained in the Notice of Noncompliance, then, with the approval of the Administrative Manager, the </w:t>
      </w:r>
      <w:r w:rsidR="000C0F6C">
        <w:rPr>
          <w:sz w:val="24"/>
          <w:szCs w:val="24"/>
        </w:rPr>
        <w:t>subrecipient</w:t>
      </w:r>
      <w:r w:rsidR="00531D0A" w:rsidRPr="004C4D79">
        <w:rPr>
          <w:sz w:val="24"/>
          <w:szCs w:val="24"/>
        </w:rPr>
        <w:t xml:space="preserve"> shall be upgraded to Level 2 monitoring and the PSGAO shall issue a “Corrective Action Plan”</w:t>
      </w:r>
      <w:r w:rsidR="006B4DBE" w:rsidRPr="004C4D79">
        <w:rPr>
          <w:sz w:val="24"/>
          <w:szCs w:val="24"/>
        </w:rPr>
        <w:t xml:space="preserve"> (CAP).</w:t>
      </w:r>
      <w:r w:rsidR="00531D0A" w:rsidRPr="004C4D79">
        <w:rPr>
          <w:sz w:val="24"/>
          <w:szCs w:val="24"/>
        </w:rPr>
        <w:t xml:space="preserve">  </w:t>
      </w:r>
      <w:r w:rsidR="006B4DBE" w:rsidRPr="004C4D79">
        <w:rPr>
          <w:sz w:val="24"/>
          <w:szCs w:val="24"/>
        </w:rPr>
        <w:t xml:space="preserve">The CAP </w:t>
      </w:r>
      <w:r w:rsidR="007F1A00" w:rsidRPr="004C4D79">
        <w:rPr>
          <w:sz w:val="24"/>
          <w:szCs w:val="24"/>
        </w:rPr>
        <w:t>may require bi-weekly or monthly status reports</w:t>
      </w:r>
      <w:r w:rsidR="00FC03A8" w:rsidRPr="004C4D79">
        <w:rPr>
          <w:sz w:val="24"/>
          <w:szCs w:val="24"/>
        </w:rPr>
        <w:t>, additional site visits</w:t>
      </w:r>
      <w:r w:rsidR="00BD1E68" w:rsidRPr="004C4D79">
        <w:rPr>
          <w:sz w:val="24"/>
          <w:szCs w:val="24"/>
        </w:rPr>
        <w:t>, mandatory training, or increased financial supervision</w:t>
      </w:r>
      <w:r w:rsidR="003438CD" w:rsidRPr="004C4D79">
        <w:rPr>
          <w:sz w:val="24"/>
          <w:szCs w:val="24"/>
        </w:rPr>
        <w:t>.</w:t>
      </w:r>
      <w:r w:rsidR="00895A8A" w:rsidRPr="004C4D79">
        <w:rPr>
          <w:sz w:val="24"/>
          <w:szCs w:val="24"/>
        </w:rPr>
        <w:t xml:space="preserve"> </w:t>
      </w:r>
      <w:r w:rsidR="0094265C">
        <w:rPr>
          <w:sz w:val="24"/>
          <w:szCs w:val="24"/>
        </w:rPr>
        <w:t xml:space="preserve"> These conditions are individualized to the </w:t>
      </w:r>
      <w:r w:rsidR="000C0F6C">
        <w:rPr>
          <w:sz w:val="24"/>
          <w:szCs w:val="24"/>
        </w:rPr>
        <w:t>subrecipient</w:t>
      </w:r>
      <w:r w:rsidR="0094265C">
        <w:rPr>
          <w:sz w:val="24"/>
          <w:szCs w:val="24"/>
        </w:rPr>
        <w:t xml:space="preserve"> and intended to ensure compliance </w:t>
      </w:r>
      <w:r w:rsidR="009345DC">
        <w:rPr>
          <w:sz w:val="24"/>
          <w:szCs w:val="24"/>
        </w:rPr>
        <w:t xml:space="preserve">with </w:t>
      </w:r>
      <w:r w:rsidR="00343259">
        <w:rPr>
          <w:sz w:val="24"/>
          <w:szCs w:val="24"/>
        </w:rPr>
        <w:t>f</w:t>
      </w:r>
      <w:r w:rsidR="0094265C">
        <w:rPr>
          <w:sz w:val="24"/>
          <w:szCs w:val="24"/>
        </w:rPr>
        <w:t xml:space="preserve">ederal and </w:t>
      </w:r>
      <w:r w:rsidR="00343259">
        <w:rPr>
          <w:sz w:val="24"/>
          <w:szCs w:val="24"/>
        </w:rPr>
        <w:t>s</w:t>
      </w:r>
      <w:r w:rsidR="0094265C">
        <w:rPr>
          <w:sz w:val="24"/>
          <w:szCs w:val="24"/>
        </w:rPr>
        <w:t xml:space="preserve">tate rules.  </w:t>
      </w:r>
      <w:r w:rsidR="004F4B2A" w:rsidRPr="004C4D79">
        <w:rPr>
          <w:sz w:val="24"/>
          <w:szCs w:val="24"/>
        </w:rPr>
        <w:t xml:space="preserve">Pursuant to Specific </w:t>
      </w:r>
      <w:r w:rsidR="009345DC">
        <w:rPr>
          <w:sz w:val="24"/>
          <w:szCs w:val="24"/>
        </w:rPr>
        <w:t>c</w:t>
      </w:r>
      <w:r w:rsidR="004F4B2A" w:rsidRPr="004C4D79">
        <w:rPr>
          <w:sz w:val="24"/>
          <w:szCs w:val="24"/>
        </w:rPr>
        <w:t xml:space="preserve">onditions, </w:t>
      </w:r>
      <w:r w:rsidR="00895A8A" w:rsidRPr="004C4D79">
        <w:rPr>
          <w:sz w:val="24"/>
          <w:szCs w:val="24"/>
        </w:rPr>
        <w:t>2 C.F.R. § 200.207</w:t>
      </w:r>
      <w:r w:rsidR="00BD1E68" w:rsidRPr="004C4D79">
        <w:rPr>
          <w:sz w:val="24"/>
          <w:szCs w:val="24"/>
        </w:rPr>
        <w:t>, the PSGAO has the authority to impose conditions as needed.</w:t>
      </w:r>
    </w:p>
    <w:p w:rsidR="00495EBC" w:rsidRPr="004C4D79" w:rsidRDefault="00495EBC" w:rsidP="007451B5">
      <w:pPr>
        <w:rPr>
          <w:sz w:val="24"/>
          <w:szCs w:val="24"/>
        </w:rPr>
      </w:pPr>
      <w:r>
        <w:rPr>
          <w:sz w:val="24"/>
          <w:szCs w:val="24"/>
        </w:rPr>
        <w:lastRenderedPageBreak/>
        <w:tab/>
        <w:t xml:space="preserve">If any </w:t>
      </w:r>
      <w:r w:rsidR="000C0F6C">
        <w:rPr>
          <w:sz w:val="24"/>
          <w:szCs w:val="24"/>
        </w:rPr>
        <w:t>subrecipient</w:t>
      </w:r>
      <w:r>
        <w:rPr>
          <w:sz w:val="24"/>
          <w:szCs w:val="24"/>
        </w:rPr>
        <w:t xml:space="preserve"> disagrees with the suggested CAP, then within 30 days they may request a conference with the grant administrator and Administrative Manager in order to formulate an appropriate CAP.</w:t>
      </w:r>
    </w:p>
    <w:p w:rsidR="008A1CC5" w:rsidRPr="004C4D79" w:rsidRDefault="008A1CC5" w:rsidP="007451B5">
      <w:pPr>
        <w:rPr>
          <w:sz w:val="24"/>
          <w:szCs w:val="24"/>
        </w:rPr>
      </w:pPr>
      <w:r w:rsidRPr="004C4D79">
        <w:rPr>
          <w:sz w:val="24"/>
          <w:szCs w:val="24"/>
        </w:rPr>
        <w:tab/>
        <w:t xml:space="preserve"> </w:t>
      </w:r>
    </w:p>
    <w:p w:rsidR="00D17C55" w:rsidRDefault="005A6809" w:rsidP="007451B5">
      <w:pPr>
        <w:pStyle w:val="Heading3"/>
      </w:pPr>
      <w:bookmarkStart w:id="36" w:name="_Toc8299914"/>
      <w:r>
        <w:t xml:space="preserve">Site </w:t>
      </w:r>
      <w:r w:rsidR="004C4D79">
        <w:t>V</w:t>
      </w:r>
      <w:r>
        <w:t>isit</w:t>
      </w:r>
      <w:bookmarkEnd w:id="36"/>
    </w:p>
    <w:p w:rsidR="0094265C" w:rsidRDefault="00D17C55" w:rsidP="0061334F">
      <w:pPr>
        <w:rPr>
          <w:rFonts w:cstheme="minorHAnsi"/>
          <w:sz w:val="24"/>
          <w:szCs w:val="24"/>
        </w:rPr>
      </w:pPr>
      <w:r>
        <w:rPr>
          <w:rFonts w:cstheme="minorHAnsi"/>
          <w:sz w:val="24"/>
          <w:szCs w:val="24"/>
        </w:rPr>
        <w:tab/>
        <w:t xml:space="preserve">The PSGAO intends to conduct a site visit of all </w:t>
      </w:r>
      <w:r w:rsidR="000C0F6C">
        <w:rPr>
          <w:rFonts w:cstheme="minorHAnsi"/>
          <w:sz w:val="24"/>
          <w:szCs w:val="24"/>
        </w:rPr>
        <w:t>subrecipient</w:t>
      </w:r>
      <w:r>
        <w:rPr>
          <w:rFonts w:cstheme="minorHAnsi"/>
          <w:sz w:val="24"/>
          <w:szCs w:val="24"/>
        </w:rPr>
        <w:t>s annually</w:t>
      </w:r>
      <w:r w:rsidR="0094265C">
        <w:rPr>
          <w:rFonts w:cstheme="minorHAnsi"/>
          <w:sz w:val="24"/>
          <w:szCs w:val="24"/>
        </w:rPr>
        <w:t xml:space="preserve"> or at a minimum of once during the award’s lifecycle</w:t>
      </w:r>
      <w:r>
        <w:rPr>
          <w:rFonts w:cstheme="minorHAnsi"/>
          <w:sz w:val="24"/>
          <w:szCs w:val="24"/>
        </w:rPr>
        <w:t xml:space="preserve">.  The site visit is conducted independently of </w:t>
      </w:r>
      <w:r w:rsidR="000C0F6C">
        <w:rPr>
          <w:rFonts w:cstheme="minorHAnsi"/>
          <w:sz w:val="24"/>
          <w:szCs w:val="24"/>
        </w:rPr>
        <w:t>subrecipient</w:t>
      </w:r>
      <w:r>
        <w:rPr>
          <w:rFonts w:cstheme="minorHAnsi"/>
          <w:sz w:val="24"/>
          <w:szCs w:val="24"/>
        </w:rPr>
        <w:t xml:space="preserve"> risk or audit status.  The site visit provides the opportunity to see the </w:t>
      </w:r>
      <w:r w:rsidR="000C0F6C">
        <w:rPr>
          <w:rFonts w:cstheme="minorHAnsi"/>
          <w:sz w:val="24"/>
          <w:szCs w:val="24"/>
        </w:rPr>
        <w:t>subrecipient</w:t>
      </w:r>
      <w:r>
        <w:rPr>
          <w:rFonts w:cstheme="minorHAnsi"/>
          <w:sz w:val="24"/>
          <w:szCs w:val="24"/>
        </w:rPr>
        <w:t>’s plan in action, assess the overall effectiveness of the plan, review</w:t>
      </w:r>
      <w:r w:rsidR="00C00BF8">
        <w:rPr>
          <w:rFonts w:cstheme="minorHAnsi"/>
          <w:sz w:val="24"/>
          <w:szCs w:val="24"/>
        </w:rPr>
        <w:t xml:space="preserve"> a</w:t>
      </w:r>
      <w:r>
        <w:rPr>
          <w:rFonts w:cstheme="minorHAnsi"/>
          <w:sz w:val="24"/>
          <w:szCs w:val="24"/>
        </w:rPr>
        <w:t xml:space="preserve"> </w:t>
      </w:r>
      <w:r w:rsidR="000C0F6C">
        <w:rPr>
          <w:rFonts w:cstheme="minorHAnsi"/>
          <w:sz w:val="24"/>
          <w:szCs w:val="24"/>
        </w:rPr>
        <w:t>subrecipient</w:t>
      </w:r>
      <w:r>
        <w:rPr>
          <w:rFonts w:cstheme="minorHAnsi"/>
          <w:sz w:val="24"/>
          <w:szCs w:val="24"/>
        </w:rPr>
        <w:t>’s policies and procedures</w:t>
      </w:r>
      <w:r w:rsidR="0094265C">
        <w:rPr>
          <w:rFonts w:cstheme="minorHAnsi"/>
          <w:sz w:val="24"/>
          <w:szCs w:val="24"/>
        </w:rPr>
        <w:t xml:space="preserve"> and meet key personnel</w:t>
      </w:r>
      <w:r w:rsidR="0061334F">
        <w:rPr>
          <w:rFonts w:cstheme="minorHAnsi"/>
          <w:sz w:val="24"/>
          <w:szCs w:val="24"/>
        </w:rPr>
        <w:t xml:space="preserve">.  </w:t>
      </w:r>
      <w:r w:rsidR="00E13031">
        <w:rPr>
          <w:rFonts w:cstheme="minorHAnsi"/>
          <w:sz w:val="24"/>
          <w:szCs w:val="24"/>
        </w:rPr>
        <w:t xml:space="preserve">The grant administrator will contact the </w:t>
      </w:r>
      <w:r w:rsidR="000C0F6C">
        <w:rPr>
          <w:rFonts w:cstheme="minorHAnsi"/>
          <w:sz w:val="24"/>
          <w:szCs w:val="24"/>
        </w:rPr>
        <w:t>subrecipient</w:t>
      </w:r>
      <w:r w:rsidR="00E13031">
        <w:rPr>
          <w:rFonts w:cstheme="minorHAnsi"/>
          <w:sz w:val="24"/>
          <w:szCs w:val="24"/>
        </w:rPr>
        <w:t xml:space="preserve"> approximately 30-60 days prior to a proposed site visit with a suggested date, and site visit questionnaire. </w:t>
      </w:r>
      <w:r w:rsidR="00083E2F">
        <w:rPr>
          <w:rFonts w:cstheme="minorHAnsi"/>
          <w:sz w:val="24"/>
          <w:szCs w:val="24"/>
        </w:rPr>
        <w:t xml:space="preserve"> The </w:t>
      </w:r>
      <w:r w:rsidR="00083E2F" w:rsidRPr="00FC5BA0">
        <w:rPr>
          <w:rFonts w:cstheme="minorHAnsi"/>
          <w:sz w:val="24"/>
          <w:szCs w:val="24"/>
        </w:rPr>
        <w:t xml:space="preserve">program director and financial </w:t>
      </w:r>
      <w:r w:rsidR="004A5060" w:rsidRPr="00FC5BA0">
        <w:rPr>
          <w:rFonts w:cstheme="minorHAnsi"/>
          <w:sz w:val="24"/>
          <w:szCs w:val="24"/>
        </w:rPr>
        <w:t xml:space="preserve">director </w:t>
      </w:r>
      <w:r w:rsidR="004A5060" w:rsidRPr="004A5060">
        <w:rPr>
          <w:rFonts w:cstheme="minorHAnsi"/>
          <w:sz w:val="24"/>
          <w:szCs w:val="24"/>
        </w:rPr>
        <w:t>should be present.</w:t>
      </w:r>
      <w:r w:rsidR="004A5060">
        <w:rPr>
          <w:rFonts w:cstheme="minorHAnsi"/>
          <w:sz w:val="24"/>
          <w:szCs w:val="24"/>
        </w:rPr>
        <w:t xml:space="preserve">  One questionnaire will be sent per open grant award and should be completed and returned to the grant administrator prior to the site visit.</w:t>
      </w:r>
    </w:p>
    <w:p w:rsidR="0061334F" w:rsidRDefault="003110B7" w:rsidP="0061334F">
      <w:pPr>
        <w:rPr>
          <w:rFonts w:cstheme="minorHAnsi"/>
          <w:sz w:val="24"/>
          <w:szCs w:val="24"/>
        </w:rPr>
      </w:pPr>
      <w:r>
        <w:rPr>
          <w:rFonts w:cstheme="minorHAnsi"/>
          <w:sz w:val="24"/>
          <w:szCs w:val="24"/>
        </w:rPr>
        <w:tab/>
      </w:r>
      <w:r w:rsidR="0061334F" w:rsidRPr="0061334F">
        <w:rPr>
          <w:rFonts w:cstheme="minorHAnsi"/>
          <w:sz w:val="24"/>
          <w:szCs w:val="24"/>
        </w:rPr>
        <w:t>If a monitoring visit has to be cancelled due to inclement weather, illness</w:t>
      </w:r>
      <w:r w:rsidR="009345DC">
        <w:rPr>
          <w:rFonts w:cstheme="minorHAnsi"/>
          <w:sz w:val="24"/>
          <w:szCs w:val="24"/>
        </w:rPr>
        <w:t>,</w:t>
      </w:r>
      <w:r w:rsidR="0061334F" w:rsidRPr="0061334F">
        <w:rPr>
          <w:rFonts w:cstheme="minorHAnsi"/>
          <w:sz w:val="24"/>
          <w:szCs w:val="24"/>
        </w:rPr>
        <w:t xml:space="preserve"> or for any other reason, then a new date will be chosen at the earliest time both parties are available to meet.  All VOCA staff and the Administrative Manager will be notified if there is a cancellation and notified of the new time and date </w:t>
      </w:r>
      <w:r w:rsidR="009345DC">
        <w:rPr>
          <w:rFonts w:cstheme="minorHAnsi"/>
          <w:sz w:val="24"/>
          <w:szCs w:val="24"/>
        </w:rPr>
        <w:t>when</w:t>
      </w:r>
      <w:r w:rsidR="0061334F" w:rsidRPr="0061334F">
        <w:rPr>
          <w:rFonts w:cstheme="minorHAnsi"/>
          <w:sz w:val="24"/>
          <w:szCs w:val="24"/>
        </w:rPr>
        <w:t xml:space="preserve"> it will be conducted.</w:t>
      </w:r>
    </w:p>
    <w:p w:rsidR="003110B7" w:rsidRPr="003110B7" w:rsidRDefault="005B0048" w:rsidP="003110B7">
      <w:pPr>
        <w:rPr>
          <w:rFonts w:cstheme="minorHAnsi"/>
          <w:sz w:val="24"/>
          <w:szCs w:val="24"/>
        </w:rPr>
      </w:pPr>
      <w:r>
        <w:rPr>
          <w:rFonts w:cstheme="minorHAnsi"/>
          <w:sz w:val="24"/>
          <w:szCs w:val="24"/>
        </w:rPr>
        <w:tab/>
      </w:r>
      <w:r w:rsidR="003110B7" w:rsidRPr="003110B7">
        <w:rPr>
          <w:rFonts w:cstheme="minorHAnsi"/>
          <w:sz w:val="24"/>
          <w:szCs w:val="24"/>
        </w:rPr>
        <w:t xml:space="preserve">The PSGAO will review the performance statistics as part of the site visit.  The PSGAO will bring the previous quarter’s Performance Measurement Tool report to compare with the </w:t>
      </w:r>
      <w:r w:rsidRPr="003110B7">
        <w:rPr>
          <w:rFonts w:cstheme="minorHAnsi"/>
          <w:sz w:val="24"/>
          <w:szCs w:val="24"/>
        </w:rPr>
        <w:t>statistics</w:t>
      </w:r>
      <w:r w:rsidR="003110B7" w:rsidRPr="003110B7">
        <w:rPr>
          <w:rFonts w:cstheme="minorHAnsi"/>
          <w:sz w:val="24"/>
          <w:szCs w:val="24"/>
        </w:rPr>
        <w:t xml:space="preserve"> on file with the subrecipient to ensure </w:t>
      </w:r>
      <w:r w:rsidR="009345DC">
        <w:rPr>
          <w:rFonts w:cstheme="minorHAnsi"/>
          <w:sz w:val="24"/>
          <w:szCs w:val="24"/>
        </w:rPr>
        <w:t>the</w:t>
      </w:r>
      <w:r w:rsidR="003110B7" w:rsidRPr="003110B7">
        <w:rPr>
          <w:rFonts w:cstheme="minorHAnsi"/>
          <w:sz w:val="24"/>
          <w:szCs w:val="24"/>
        </w:rPr>
        <w:t xml:space="preserve"> reported</w:t>
      </w:r>
      <w:r w:rsidR="009345DC">
        <w:rPr>
          <w:rFonts w:cstheme="minorHAnsi"/>
          <w:sz w:val="24"/>
          <w:szCs w:val="24"/>
        </w:rPr>
        <w:t xml:space="preserve"> data</w:t>
      </w:r>
      <w:r w:rsidR="003110B7" w:rsidRPr="003110B7">
        <w:rPr>
          <w:rFonts w:cstheme="minorHAnsi"/>
          <w:sz w:val="24"/>
          <w:szCs w:val="24"/>
        </w:rPr>
        <w:t xml:space="preserve"> in the PMT is accurate.</w:t>
      </w:r>
      <w:r w:rsidR="00E278CD" w:rsidRPr="00E278CD">
        <w:t xml:space="preserve"> </w:t>
      </w:r>
      <w:r w:rsidR="00E278CD" w:rsidRPr="00E278CD">
        <w:rPr>
          <w:rFonts w:cstheme="minorHAnsi"/>
          <w:sz w:val="24"/>
          <w:szCs w:val="24"/>
        </w:rPr>
        <w:t>The grant administrator will examine how subrecipients monitor and track data to ensure that a system exists that is capable</w:t>
      </w:r>
      <w:r w:rsidR="009345DC">
        <w:rPr>
          <w:rFonts w:cstheme="minorHAnsi"/>
          <w:sz w:val="24"/>
          <w:szCs w:val="24"/>
        </w:rPr>
        <w:t xml:space="preserve"> of</w:t>
      </w:r>
      <w:r w:rsidR="00E278CD" w:rsidRPr="00E278CD">
        <w:rPr>
          <w:rFonts w:cstheme="minorHAnsi"/>
          <w:sz w:val="24"/>
          <w:szCs w:val="24"/>
        </w:rPr>
        <w:t xml:space="preserve"> accounting for information measured by the PMT.  Data from the subrecipients prior PMT will be reviewed with the project personnel during the site visit to confirm how the data was obtained and to review for accuracy.  For example, if visiting a subrecipient whose primary purpose is to address domestic violence, but the PMT showed that few victims of that crime type were assisted during that period, the grant administrator would be able to address the discrepancy – including discussing whether the subrecipient is expending grant funds towards their original allocated purpose, whether a typographical error occurred, and the general efficacy of the program.</w:t>
      </w:r>
    </w:p>
    <w:p w:rsidR="003110B7" w:rsidRPr="0061334F" w:rsidRDefault="003110B7" w:rsidP="003110B7">
      <w:pPr>
        <w:rPr>
          <w:rFonts w:cstheme="minorHAnsi"/>
          <w:sz w:val="24"/>
          <w:szCs w:val="24"/>
        </w:rPr>
      </w:pPr>
      <w:r>
        <w:rPr>
          <w:rFonts w:cstheme="minorHAnsi"/>
          <w:sz w:val="24"/>
          <w:szCs w:val="24"/>
        </w:rPr>
        <w:tab/>
      </w:r>
      <w:r w:rsidR="00895430" w:rsidRPr="00895430">
        <w:rPr>
          <w:rFonts w:cstheme="minorHAnsi"/>
          <w:sz w:val="24"/>
          <w:szCs w:val="24"/>
        </w:rPr>
        <w:t>After</w:t>
      </w:r>
      <w:r w:rsidRPr="00895430">
        <w:rPr>
          <w:rFonts w:cstheme="minorHAnsi"/>
          <w:sz w:val="24"/>
          <w:szCs w:val="24"/>
        </w:rPr>
        <w:t xml:space="preserve"> the site visit</w:t>
      </w:r>
      <w:r w:rsidR="00895430" w:rsidRPr="00895430">
        <w:rPr>
          <w:rFonts w:cstheme="minorHAnsi"/>
          <w:sz w:val="24"/>
          <w:szCs w:val="24"/>
        </w:rPr>
        <w:t>,</w:t>
      </w:r>
      <w:r w:rsidRPr="00895430">
        <w:rPr>
          <w:rFonts w:cstheme="minorHAnsi"/>
          <w:sz w:val="24"/>
          <w:szCs w:val="24"/>
        </w:rPr>
        <w:t xml:space="preserve"> a monitoring report </w:t>
      </w:r>
      <w:r w:rsidR="009345DC">
        <w:rPr>
          <w:rFonts w:cstheme="minorHAnsi"/>
          <w:sz w:val="24"/>
          <w:szCs w:val="24"/>
        </w:rPr>
        <w:t>will</w:t>
      </w:r>
      <w:r w:rsidRPr="00895430">
        <w:rPr>
          <w:rFonts w:cstheme="minorHAnsi"/>
          <w:sz w:val="24"/>
          <w:szCs w:val="24"/>
        </w:rPr>
        <w:t xml:space="preserve"> be prepared for the grant file, along with a follow up letter to the </w:t>
      </w:r>
      <w:r w:rsidR="000C0F6C" w:rsidRPr="00895430">
        <w:rPr>
          <w:rFonts w:cstheme="minorHAnsi"/>
          <w:sz w:val="24"/>
          <w:szCs w:val="24"/>
        </w:rPr>
        <w:t>subrecipient</w:t>
      </w:r>
      <w:r w:rsidRPr="00895430">
        <w:rPr>
          <w:rFonts w:cstheme="minorHAnsi"/>
          <w:sz w:val="24"/>
          <w:szCs w:val="24"/>
        </w:rPr>
        <w:t>. The report must identify the issues reviewed for compliance, any findings, any recommendations for corrective action and a deadline for completing the corrective action. The grant administrator will report immediately any major concerns, such as fraud, waste and abuse as well as any potential violations of federal guidelines concerning civil rights as set forth in state and federal statutes.</w:t>
      </w:r>
    </w:p>
    <w:p w:rsidR="00E80599" w:rsidRDefault="00E80599" w:rsidP="00B237B3">
      <w:pPr>
        <w:pStyle w:val="ListParagraph"/>
        <w:ind w:left="0"/>
        <w:rPr>
          <w:rFonts w:cstheme="minorHAnsi"/>
          <w:b/>
          <w:sz w:val="24"/>
          <w:szCs w:val="24"/>
        </w:rPr>
      </w:pPr>
    </w:p>
    <w:p w:rsidR="00EC0934" w:rsidRDefault="004449AD" w:rsidP="00EC0934">
      <w:pPr>
        <w:pStyle w:val="Heading2"/>
      </w:pPr>
      <w:bookmarkStart w:id="37" w:name="_Toc8299915"/>
      <w:r>
        <w:lastRenderedPageBreak/>
        <w:t xml:space="preserve">PMT and </w:t>
      </w:r>
      <w:r w:rsidR="00EC0934">
        <w:t>Mandatory Reporting</w:t>
      </w:r>
      <w:bookmarkEnd w:id="37"/>
    </w:p>
    <w:p w:rsidR="00EC0934" w:rsidRPr="00EC0934" w:rsidRDefault="009A29CC" w:rsidP="00EC0934">
      <w:pPr>
        <w:rPr>
          <w:sz w:val="24"/>
          <w:szCs w:val="24"/>
        </w:rPr>
      </w:pPr>
      <w:r>
        <w:rPr>
          <w:sz w:val="24"/>
          <w:szCs w:val="24"/>
        </w:rPr>
        <w:tab/>
      </w:r>
      <w:r w:rsidR="00EC0934" w:rsidRPr="00EC0934">
        <w:rPr>
          <w:sz w:val="24"/>
          <w:szCs w:val="24"/>
        </w:rPr>
        <w:t xml:space="preserve">All reports mandated in the grant regulations </w:t>
      </w:r>
      <w:r w:rsidR="009345DC">
        <w:rPr>
          <w:sz w:val="24"/>
          <w:szCs w:val="24"/>
        </w:rPr>
        <w:t>and</w:t>
      </w:r>
      <w:r w:rsidR="00EC0934" w:rsidRPr="00EC0934">
        <w:rPr>
          <w:sz w:val="24"/>
          <w:szCs w:val="24"/>
        </w:rPr>
        <w:t xml:space="preserve"> special conditions, including periodic progress reports and quarterly Federal Financial Status Reports (SF-425) will be filed in a timely manner according to the requirements as set forth in the individual grant.</w:t>
      </w:r>
    </w:p>
    <w:p w:rsidR="00EC0934" w:rsidRPr="00EC0934" w:rsidRDefault="009A29CC" w:rsidP="00EC0934">
      <w:pPr>
        <w:rPr>
          <w:sz w:val="24"/>
          <w:szCs w:val="24"/>
        </w:rPr>
      </w:pPr>
      <w:r>
        <w:rPr>
          <w:sz w:val="24"/>
          <w:szCs w:val="24"/>
        </w:rPr>
        <w:tab/>
      </w:r>
      <w:r w:rsidR="00EC0934" w:rsidRPr="00EC0934">
        <w:rPr>
          <w:sz w:val="24"/>
          <w:szCs w:val="24"/>
        </w:rPr>
        <w:t xml:space="preserve">The PMT (Performance Measurement Tool) is the website that all the VOCA </w:t>
      </w:r>
      <w:r w:rsidR="000C0F6C">
        <w:rPr>
          <w:sz w:val="24"/>
          <w:szCs w:val="24"/>
        </w:rPr>
        <w:t>subrecipient</w:t>
      </w:r>
      <w:r w:rsidR="00EC0934" w:rsidRPr="00EC0934">
        <w:rPr>
          <w:sz w:val="24"/>
          <w:szCs w:val="24"/>
        </w:rPr>
        <w:t xml:space="preserve">s must report in for every quarter.  The subrecipients are given </w:t>
      </w:r>
      <w:r w:rsidR="00E66686">
        <w:rPr>
          <w:sz w:val="24"/>
          <w:szCs w:val="24"/>
        </w:rPr>
        <w:t>15</w:t>
      </w:r>
      <w:r w:rsidR="00EC0934" w:rsidRPr="00EC0934">
        <w:rPr>
          <w:sz w:val="24"/>
          <w:szCs w:val="24"/>
        </w:rPr>
        <w:t xml:space="preserve"> days to enter their PMT data.  This leaves fifteen days that the </w:t>
      </w:r>
      <w:r w:rsidR="009F3337">
        <w:rPr>
          <w:sz w:val="24"/>
          <w:szCs w:val="24"/>
        </w:rPr>
        <w:t>grant</w:t>
      </w:r>
      <w:r w:rsidR="00EC0934" w:rsidRPr="00EC0934">
        <w:rPr>
          <w:sz w:val="24"/>
          <w:szCs w:val="24"/>
        </w:rPr>
        <w:t xml:space="preserve"> administrator can review and check that the information is submitted.  If information is missing, the report will be unlocked so that the subrecipient can add the missing information.  The </w:t>
      </w:r>
      <w:r w:rsidR="009F3337">
        <w:rPr>
          <w:sz w:val="24"/>
          <w:szCs w:val="24"/>
        </w:rPr>
        <w:t>grant administrator</w:t>
      </w:r>
      <w:r w:rsidR="00EC0934" w:rsidRPr="00EC0934">
        <w:rPr>
          <w:sz w:val="24"/>
          <w:szCs w:val="24"/>
        </w:rPr>
        <w:t xml:space="preserve"> makes sure that all of the </w:t>
      </w:r>
      <w:r w:rsidR="000C0F6C">
        <w:rPr>
          <w:sz w:val="24"/>
          <w:szCs w:val="24"/>
        </w:rPr>
        <w:t>subrecipient</w:t>
      </w:r>
      <w:r w:rsidR="00EC0934" w:rsidRPr="00EC0934">
        <w:rPr>
          <w:sz w:val="24"/>
          <w:szCs w:val="24"/>
        </w:rPr>
        <w:t xml:space="preserve">s have entered their documentation before the deadline.  The PMT documentation is reviewed for </w:t>
      </w:r>
      <w:r w:rsidR="009E5002" w:rsidRPr="00EC0934">
        <w:rPr>
          <w:sz w:val="24"/>
          <w:szCs w:val="24"/>
        </w:rPr>
        <w:t>accuracy</w:t>
      </w:r>
      <w:r w:rsidR="00EC0934" w:rsidRPr="00EC0934">
        <w:rPr>
          <w:sz w:val="24"/>
          <w:szCs w:val="24"/>
        </w:rPr>
        <w:t xml:space="preserve"> during the site visit using the last available PMT report.</w:t>
      </w:r>
    </w:p>
    <w:p w:rsidR="00096E35" w:rsidRDefault="009A29CC" w:rsidP="009345DC">
      <w:r>
        <w:rPr>
          <w:sz w:val="24"/>
          <w:szCs w:val="24"/>
        </w:rPr>
        <w:tab/>
      </w:r>
    </w:p>
    <w:p w:rsidR="00096E35" w:rsidRDefault="00096E35" w:rsidP="00331B81">
      <w:pPr>
        <w:pStyle w:val="Heading2"/>
      </w:pPr>
      <w:bookmarkStart w:id="38" w:name="_Toc8299916"/>
      <w:r>
        <w:t>Suspicion of Fraud, Theft, or other Illegal Activity</w:t>
      </w:r>
      <w:bookmarkEnd w:id="38"/>
    </w:p>
    <w:p w:rsidR="009F67A3" w:rsidRDefault="00331B81" w:rsidP="00096E35">
      <w:pPr>
        <w:rPr>
          <w:sz w:val="24"/>
          <w:szCs w:val="24"/>
        </w:rPr>
      </w:pPr>
      <w:r>
        <w:rPr>
          <w:sz w:val="24"/>
          <w:szCs w:val="24"/>
        </w:rPr>
        <w:tab/>
      </w:r>
      <w:r w:rsidR="009F67A3">
        <w:rPr>
          <w:sz w:val="24"/>
          <w:szCs w:val="24"/>
        </w:rPr>
        <w:t>Any subrecipient, subrecipient employee, or any individual with knowledge of fraud, theft, or illegal activity should contact the PSGAO immediately and notify the Administrative Manager.</w:t>
      </w:r>
    </w:p>
    <w:p w:rsidR="00096E35" w:rsidRDefault="009F67A3" w:rsidP="00096E35">
      <w:pPr>
        <w:rPr>
          <w:sz w:val="24"/>
          <w:szCs w:val="24"/>
        </w:rPr>
      </w:pPr>
      <w:r>
        <w:rPr>
          <w:sz w:val="24"/>
          <w:szCs w:val="24"/>
        </w:rPr>
        <w:tab/>
      </w:r>
      <w:r w:rsidR="00096E35">
        <w:rPr>
          <w:sz w:val="24"/>
          <w:szCs w:val="24"/>
        </w:rPr>
        <w:t>Regardless of monitoring status, if a grant administrator suspects that any grant funds are the subject of fraud, theft, or otherwise used in an illegal manner, the grant administrator shall immediately notify the Administrative Manager.</w:t>
      </w:r>
    </w:p>
    <w:p w:rsidR="00096E35" w:rsidRDefault="00331B81" w:rsidP="00096E35">
      <w:pPr>
        <w:rPr>
          <w:sz w:val="24"/>
          <w:szCs w:val="24"/>
        </w:rPr>
      </w:pPr>
      <w:r>
        <w:rPr>
          <w:sz w:val="24"/>
          <w:szCs w:val="24"/>
        </w:rPr>
        <w:tab/>
      </w:r>
      <w:r w:rsidR="00096E35">
        <w:rPr>
          <w:sz w:val="24"/>
          <w:szCs w:val="24"/>
        </w:rPr>
        <w:t xml:space="preserve">The Administrative Manager shall review the subgrant file, and if in agreement with the grant administrator, refer the subgrant file to the Executive Officer of the Rhode Island State Police, Department of Public Safety, for investigation.  </w:t>
      </w:r>
      <w:r w:rsidR="00C00A32">
        <w:rPr>
          <w:sz w:val="24"/>
          <w:szCs w:val="24"/>
        </w:rPr>
        <w:t xml:space="preserve">The PSGAO shall notify </w:t>
      </w:r>
      <w:r w:rsidR="00BD59F8">
        <w:rPr>
          <w:sz w:val="24"/>
          <w:szCs w:val="24"/>
        </w:rPr>
        <w:t>the OVC that a grant file has been referred for investigation.</w:t>
      </w:r>
    </w:p>
    <w:p w:rsidR="005B38CA" w:rsidRPr="00096E35" w:rsidRDefault="005B38CA" w:rsidP="00096E35">
      <w:pPr>
        <w:rPr>
          <w:sz w:val="24"/>
          <w:szCs w:val="24"/>
        </w:rPr>
      </w:pPr>
    </w:p>
    <w:p w:rsidR="00E80599" w:rsidRDefault="00E80599" w:rsidP="00FB148A">
      <w:pPr>
        <w:pStyle w:val="Heading2"/>
      </w:pPr>
      <w:bookmarkStart w:id="39" w:name="_Toc8299917"/>
      <w:r>
        <w:t>Remedies for Noncompliance</w:t>
      </w:r>
      <w:bookmarkEnd w:id="39"/>
    </w:p>
    <w:p w:rsidR="00A7738D" w:rsidRPr="00D92174" w:rsidRDefault="00331B81" w:rsidP="00D92174">
      <w:pPr>
        <w:rPr>
          <w:sz w:val="24"/>
          <w:szCs w:val="24"/>
        </w:rPr>
      </w:pPr>
      <w:r>
        <w:rPr>
          <w:sz w:val="24"/>
          <w:szCs w:val="24"/>
        </w:rPr>
        <w:tab/>
      </w:r>
      <w:r w:rsidR="00A7738D" w:rsidRPr="00D92174">
        <w:rPr>
          <w:sz w:val="24"/>
          <w:szCs w:val="24"/>
        </w:rPr>
        <w:t xml:space="preserve">If the </w:t>
      </w:r>
      <w:r w:rsidR="00D92174" w:rsidRPr="00D92174">
        <w:rPr>
          <w:sz w:val="24"/>
          <w:szCs w:val="24"/>
        </w:rPr>
        <w:t>PSGAO</w:t>
      </w:r>
      <w:r w:rsidR="00A7738D" w:rsidRPr="00D92174">
        <w:rPr>
          <w:sz w:val="24"/>
          <w:szCs w:val="24"/>
        </w:rPr>
        <w:t xml:space="preserve"> determines that noncompliance cannot be remedied by imposing additional conditions</w:t>
      </w:r>
      <w:r w:rsidR="004300BD">
        <w:rPr>
          <w:sz w:val="24"/>
          <w:szCs w:val="24"/>
        </w:rPr>
        <w:t xml:space="preserve"> pursuant to Level II monitoring</w:t>
      </w:r>
      <w:r w:rsidR="00A7738D" w:rsidRPr="00D92174">
        <w:rPr>
          <w:sz w:val="24"/>
          <w:szCs w:val="24"/>
        </w:rPr>
        <w:t xml:space="preserve">, the </w:t>
      </w:r>
      <w:r w:rsidR="004300BD">
        <w:rPr>
          <w:sz w:val="24"/>
          <w:szCs w:val="24"/>
        </w:rPr>
        <w:t>PSGAO</w:t>
      </w:r>
      <w:r w:rsidR="00A7738D" w:rsidRPr="00D92174">
        <w:rPr>
          <w:sz w:val="24"/>
          <w:szCs w:val="24"/>
        </w:rPr>
        <w:t xml:space="preserve"> may take one or more of the following actions, as appropriate in the circumstances:</w:t>
      </w:r>
    </w:p>
    <w:p w:rsidR="00A7738D" w:rsidRPr="00D92174" w:rsidRDefault="00A7738D" w:rsidP="00D92174">
      <w:pPr>
        <w:rPr>
          <w:sz w:val="24"/>
          <w:szCs w:val="24"/>
        </w:rPr>
      </w:pPr>
      <w:r w:rsidRPr="00D92174">
        <w:rPr>
          <w:sz w:val="24"/>
          <w:szCs w:val="24"/>
        </w:rPr>
        <w:t>(a) Temporarily withhold cash payments pending correction of the deficiency by the non-</w:t>
      </w:r>
      <w:r w:rsidR="009345DC">
        <w:rPr>
          <w:sz w:val="24"/>
          <w:szCs w:val="24"/>
        </w:rPr>
        <w:t>f</w:t>
      </w:r>
      <w:r w:rsidRPr="00D92174">
        <w:rPr>
          <w:sz w:val="24"/>
          <w:szCs w:val="24"/>
        </w:rPr>
        <w:t xml:space="preserve">ederal entity or more severe enforcement action by the </w:t>
      </w:r>
      <w:r w:rsidR="009345DC">
        <w:rPr>
          <w:sz w:val="24"/>
          <w:szCs w:val="24"/>
        </w:rPr>
        <w:t>f</w:t>
      </w:r>
      <w:r w:rsidRPr="00D92174">
        <w:rPr>
          <w:sz w:val="24"/>
          <w:szCs w:val="24"/>
        </w:rPr>
        <w:t>ederal awarding agency or pass-through entity.</w:t>
      </w:r>
    </w:p>
    <w:p w:rsidR="00A7738D" w:rsidRPr="00D92174" w:rsidRDefault="00A7738D" w:rsidP="00D92174">
      <w:pPr>
        <w:rPr>
          <w:sz w:val="24"/>
          <w:szCs w:val="24"/>
        </w:rPr>
      </w:pPr>
      <w:r w:rsidRPr="00D92174">
        <w:rPr>
          <w:sz w:val="24"/>
          <w:szCs w:val="24"/>
        </w:rPr>
        <w:t>(b) Disallow (that is, deny both use of funds and any applicable matching credit for) all or part of the cost of the activity or action not in compliance.</w:t>
      </w:r>
    </w:p>
    <w:p w:rsidR="00A7738D" w:rsidRPr="00D92174" w:rsidRDefault="00A7738D" w:rsidP="00D92174">
      <w:pPr>
        <w:rPr>
          <w:sz w:val="24"/>
          <w:szCs w:val="24"/>
        </w:rPr>
      </w:pPr>
      <w:r w:rsidRPr="00D92174">
        <w:rPr>
          <w:sz w:val="24"/>
          <w:szCs w:val="24"/>
        </w:rPr>
        <w:t xml:space="preserve">(c) Wholly or partly suspend or terminate the </w:t>
      </w:r>
      <w:r w:rsidR="009345DC">
        <w:rPr>
          <w:sz w:val="24"/>
          <w:szCs w:val="24"/>
        </w:rPr>
        <w:t>f</w:t>
      </w:r>
      <w:r w:rsidRPr="00D92174">
        <w:rPr>
          <w:sz w:val="24"/>
          <w:szCs w:val="24"/>
        </w:rPr>
        <w:t>ederal award.</w:t>
      </w:r>
    </w:p>
    <w:p w:rsidR="004300BD" w:rsidRDefault="00A7738D" w:rsidP="00D92174">
      <w:pPr>
        <w:rPr>
          <w:sz w:val="24"/>
          <w:szCs w:val="24"/>
        </w:rPr>
      </w:pPr>
      <w:r w:rsidRPr="00D92174">
        <w:rPr>
          <w:sz w:val="24"/>
          <w:szCs w:val="24"/>
        </w:rPr>
        <w:lastRenderedPageBreak/>
        <w:t xml:space="preserve">(d) Initiate suspension or debarment proceedings as authorized under 2 CFR part 180 and Federal awarding agency regulations </w:t>
      </w:r>
    </w:p>
    <w:p w:rsidR="00A7738D" w:rsidRPr="00D92174" w:rsidRDefault="00A7738D" w:rsidP="00D92174">
      <w:pPr>
        <w:rPr>
          <w:sz w:val="24"/>
          <w:szCs w:val="24"/>
        </w:rPr>
      </w:pPr>
      <w:r w:rsidRPr="00D92174">
        <w:rPr>
          <w:sz w:val="24"/>
          <w:szCs w:val="24"/>
        </w:rPr>
        <w:t xml:space="preserve">(e) Withhold further </w:t>
      </w:r>
      <w:r w:rsidR="009345DC">
        <w:rPr>
          <w:sz w:val="24"/>
          <w:szCs w:val="24"/>
        </w:rPr>
        <w:t>f</w:t>
      </w:r>
      <w:r w:rsidRPr="00D92174">
        <w:rPr>
          <w:sz w:val="24"/>
          <w:szCs w:val="24"/>
        </w:rPr>
        <w:t>ederal awards for the project or program.</w:t>
      </w:r>
    </w:p>
    <w:p w:rsidR="00A7738D" w:rsidRDefault="00A7738D" w:rsidP="00D92174">
      <w:pPr>
        <w:rPr>
          <w:sz w:val="24"/>
          <w:szCs w:val="24"/>
        </w:rPr>
      </w:pPr>
      <w:r w:rsidRPr="00D92174">
        <w:rPr>
          <w:sz w:val="24"/>
          <w:szCs w:val="24"/>
        </w:rPr>
        <w:t>(f) Take other remedies that may be legally available.</w:t>
      </w:r>
    </w:p>
    <w:p w:rsidR="009F3337" w:rsidRDefault="009F3337" w:rsidP="00D92174">
      <w:pPr>
        <w:rPr>
          <w:sz w:val="24"/>
          <w:szCs w:val="24"/>
        </w:rPr>
      </w:pPr>
    </w:p>
    <w:p w:rsidR="009F3337" w:rsidRDefault="009F3337" w:rsidP="009F3337">
      <w:pPr>
        <w:pStyle w:val="Heading1"/>
      </w:pPr>
      <w:bookmarkStart w:id="40" w:name="_Toc8299918"/>
      <w:r>
        <w:t>RECORD KEEPING AND FILE MANAGEMENT</w:t>
      </w:r>
      <w:bookmarkEnd w:id="40"/>
    </w:p>
    <w:p w:rsidR="005B38CA" w:rsidRDefault="00AD2E82" w:rsidP="009F3337">
      <w:pPr>
        <w:pStyle w:val="Heading2"/>
      </w:pPr>
      <w:bookmarkStart w:id="41" w:name="_Toc8299919"/>
      <w:r>
        <w:t>Subgrant File</w:t>
      </w:r>
      <w:bookmarkEnd w:id="41"/>
      <w:r>
        <w:t xml:space="preserve"> </w:t>
      </w:r>
    </w:p>
    <w:p w:rsidR="001E03E9" w:rsidRPr="001E03E9" w:rsidRDefault="009F3337" w:rsidP="001E03E9">
      <w:pPr>
        <w:rPr>
          <w:sz w:val="24"/>
          <w:szCs w:val="24"/>
        </w:rPr>
      </w:pPr>
      <w:r>
        <w:rPr>
          <w:sz w:val="24"/>
          <w:szCs w:val="24"/>
        </w:rPr>
        <w:tab/>
      </w:r>
      <w:r w:rsidR="00AD2E82">
        <w:rPr>
          <w:sz w:val="24"/>
          <w:szCs w:val="24"/>
        </w:rPr>
        <w:t>Both the PSGAO and the s</w:t>
      </w:r>
      <w:r>
        <w:rPr>
          <w:sz w:val="24"/>
          <w:szCs w:val="24"/>
        </w:rPr>
        <w:t>ubrecipients must maintain a grant</w:t>
      </w:r>
      <w:r w:rsidR="00AD2E82">
        <w:rPr>
          <w:sz w:val="24"/>
          <w:szCs w:val="24"/>
        </w:rPr>
        <w:t xml:space="preserve"> file for each VOCA grant and should include:</w:t>
      </w:r>
    </w:p>
    <w:p w:rsidR="001E03E9" w:rsidRPr="00AD2E82" w:rsidRDefault="001E03E9" w:rsidP="00AD2E82">
      <w:pPr>
        <w:pStyle w:val="ListParagraph"/>
        <w:numPr>
          <w:ilvl w:val="0"/>
          <w:numId w:val="16"/>
        </w:numPr>
        <w:rPr>
          <w:sz w:val="24"/>
          <w:szCs w:val="24"/>
        </w:rPr>
      </w:pPr>
      <w:r w:rsidRPr="00AD2E82">
        <w:rPr>
          <w:sz w:val="24"/>
          <w:szCs w:val="24"/>
        </w:rPr>
        <w:t>Application and Award Contract</w:t>
      </w:r>
    </w:p>
    <w:p w:rsidR="009F3337" w:rsidRPr="00AD2E82" w:rsidRDefault="009F3337" w:rsidP="00AD2E82">
      <w:pPr>
        <w:pStyle w:val="ListParagraph"/>
        <w:numPr>
          <w:ilvl w:val="0"/>
          <w:numId w:val="16"/>
        </w:numPr>
        <w:rPr>
          <w:sz w:val="24"/>
          <w:szCs w:val="24"/>
        </w:rPr>
      </w:pPr>
      <w:r w:rsidRPr="00AD2E82">
        <w:rPr>
          <w:sz w:val="24"/>
          <w:szCs w:val="24"/>
        </w:rPr>
        <w:t>Signed Special conditions</w:t>
      </w:r>
    </w:p>
    <w:p w:rsidR="001E03E9" w:rsidRPr="00AD2E82" w:rsidRDefault="001E03E9" w:rsidP="00AD2E82">
      <w:pPr>
        <w:pStyle w:val="ListParagraph"/>
        <w:numPr>
          <w:ilvl w:val="0"/>
          <w:numId w:val="16"/>
        </w:numPr>
        <w:rPr>
          <w:sz w:val="24"/>
          <w:szCs w:val="24"/>
        </w:rPr>
      </w:pPr>
      <w:r w:rsidRPr="00AD2E82">
        <w:rPr>
          <w:sz w:val="24"/>
          <w:szCs w:val="24"/>
        </w:rPr>
        <w:t>Correspondence</w:t>
      </w:r>
    </w:p>
    <w:p w:rsidR="00AD2E82" w:rsidRPr="00AD2E82" w:rsidRDefault="001E03E9" w:rsidP="00AD2E82">
      <w:pPr>
        <w:pStyle w:val="ListParagraph"/>
        <w:numPr>
          <w:ilvl w:val="0"/>
          <w:numId w:val="16"/>
        </w:numPr>
        <w:rPr>
          <w:sz w:val="24"/>
          <w:szCs w:val="24"/>
        </w:rPr>
      </w:pPr>
      <w:r w:rsidRPr="00AD2E82">
        <w:rPr>
          <w:sz w:val="24"/>
          <w:szCs w:val="24"/>
        </w:rPr>
        <w:t xml:space="preserve">Grant Adjustment Notices </w:t>
      </w:r>
    </w:p>
    <w:p w:rsidR="001E03E9" w:rsidRPr="00AD2E82" w:rsidRDefault="001E03E9" w:rsidP="00AD2E82">
      <w:pPr>
        <w:pStyle w:val="ListParagraph"/>
        <w:numPr>
          <w:ilvl w:val="0"/>
          <w:numId w:val="16"/>
        </w:numPr>
        <w:rPr>
          <w:sz w:val="24"/>
          <w:szCs w:val="24"/>
        </w:rPr>
      </w:pPr>
      <w:r w:rsidRPr="00AD2E82">
        <w:rPr>
          <w:sz w:val="24"/>
          <w:szCs w:val="24"/>
        </w:rPr>
        <w:t>Supporting Documentation for Grant and Match Personnel</w:t>
      </w:r>
    </w:p>
    <w:p w:rsidR="001E03E9" w:rsidRPr="00AD2E82" w:rsidRDefault="001E03E9" w:rsidP="00AD2E82">
      <w:pPr>
        <w:pStyle w:val="ListParagraph"/>
        <w:numPr>
          <w:ilvl w:val="0"/>
          <w:numId w:val="16"/>
        </w:numPr>
        <w:rPr>
          <w:sz w:val="24"/>
          <w:szCs w:val="24"/>
        </w:rPr>
      </w:pPr>
      <w:r w:rsidRPr="00AD2E82">
        <w:rPr>
          <w:sz w:val="24"/>
          <w:szCs w:val="24"/>
        </w:rPr>
        <w:t>Quarterly PMT Reports</w:t>
      </w:r>
    </w:p>
    <w:p w:rsidR="001E03E9" w:rsidRDefault="001E03E9" w:rsidP="00AD2E82">
      <w:pPr>
        <w:pStyle w:val="ListParagraph"/>
        <w:numPr>
          <w:ilvl w:val="0"/>
          <w:numId w:val="16"/>
        </w:numPr>
        <w:rPr>
          <w:sz w:val="24"/>
          <w:szCs w:val="24"/>
        </w:rPr>
      </w:pPr>
      <w:r w:rsidRPr="00AD2E82">
        <w:rPr>
          <w:sz w:val="24"/>
          <w:szCs w:val="24"/>
        </w:rPr>
        <w:t>Match Documentation</w:t>
      </w:r>
    </w:p>
    <w:p w:rsidR="00AD2E82" w:rsidRPr="00AD2E82" w:rsidRDefault="00AD2E82" w:rsidP="00AD2E82">
      <w:pPr>
        <w:pStyle w:val="ListParagraph"/>
        <w:numPr>
          <w:ilvl w:val="0"/>
          <w:numId w:val="16"/>
        </w:numPr>
        <w:rPr>
          <w:sz w:val="24"/>
          <w:szCs w:val="24"/>
        </w:rPr>
      </w:pPr>
      <w:r>
        <w:rPr>
          <w:sz w:val="24"/>
          <w:szCs w:val="24"/>
        </w:rPr>
        <w:t>Progress reports</w:t>
      </w:r>
    </w:p>
    <w:p w:rsidR="001E03E9" w:rsidRPr="00AD2E82" w:rsidRDefault="00AD2E82" w:rsidP="00AD2E82">
      <w:pPr>
        <w:pStyle w:val="ListParagraph"/>
        <w:numPr>
          <w:ilvl w:val="0"/>
          <w:numId w:val="16"/>
        </w:numPr>
        <w:rPr>
          <w:sz w:val="24"/>
          <w:szCs w:val="24"/>
        </w:rPr>
      </w:pPr>
      <w:r w:rsidRPr="00AD2E82">
        <w:rPr>
          <w:sz w:val="24"/>
          <w:szCs w:val="24"/>
        </w:rPr>
        <w:t>Reimbursement</w:t>
      </w:r>
      <w:r w:rsidR="001E03E9" w:rsidRPr="00AD2E82">
        <w:rPr>
          <w:sz w:val="24"/>
          <w:szCs w:val="24"/>
        </w:rPr>
        <w:t xml:space="preserve"> Requests and Supporting Documentation</w:t>
      </w:r>
    </w:p>
    <w:p w:rsidR="001E03E9" w:rsidRPr="00AD2E82" w:rsidRDefault="001E03E9" w:rsidP="00AD2E82">
      <w:pPr>
        <w:pStyle w:val="ListParagraph"/>
        <w:numPr>
          <w:ilvl w:val="0"/>
          <w:numId w:val="16"/>
        </w:numPr>
        <w:rPr>
          <w:sz w:val="24"/>
          <w:szCs w:val="24"/>
        </w:rPr>
      </w:pPr>
      <w:r w:rsidRPr="00AD2E82">
        <w:rPr>
          <w:sz w:val="24"/>
          <w:szCs w:val="24"/>
        </w:rPr>
        <w:t>Equipment Inventory List</w:t>
      </w:r>
      <w:r w:rsidR="00AD2E82">
        <w:rPr>
          <w:sz w:val="24"/>
          <w:szCs w:val="24"/>
        </w:rPr>
        <w:t xml:space="preserve">, if applicable </w:t>
      </w:r>
    </w:p>
    <w:p w:rsidR="00C43943" w:rsidRPr="00AD2E82" w:rsidRDefault="001E03E9" w:rsidP="00AD2E82">
      <w:pPr>
        <w:pStyle w:val="ListParagraph"/>
        <w:numPr>
          <w:ilvl w:val="0"/>
          <w:numId w:val="16"/>
        </w:numPr>
        <w:rPr>
          <w:sz w:val="24"/>
          <w:szCs w:val="24"/>
        </w:rPr>
      </w:pPr>
      <w:r w:rsidRPr="00AD2E82">
        <w:rPr>
          <w:sz w:val="24"/>
          <w:szCs w:val="24"/>
        </w:rPr>
        <w:t>Volunteer List and Activity Log (if used as in-kind match)</w:t>
      </w:r>
    </w:p>
    <w:p w:rsidR="00AD2E82" w:rsidRPr="00AD2E82" w:rsidRDefault="00AD2E82">
      <w:pPr>
        <w:rPr>
          <w:sz w:val="24"/>
          <w:szCs w:val="24"/>
        </w:rPr>
      </w:pPr>
      <w:r w:rsidRPr="00AD2E82">
        <w:rPr>
          <w:sz w:val="24"/>
          <w:szCs w:val="24"/>
        </w:rPr>
        <w:t xml:space="preserve">The PSGAO will seek to review the </w:t>
      </w:r>
      <w:r>
        <w:rPr>
          <w:sz w:val="24"/>
          <w:szCs w:val="24"/>
        </w:rPr>
        <w:t xml:space="preserve">subrecipient’s </w:t>
      </w:r>
      <w:r w:rsidRPr="00AD2E82">
        <w:rPr>
          <w:sz w:val="24"/>
          <w:szCs w:val="24"/>
        </w:rPr>
        <w:t>grant file during a site visit.</w:t>
      </w:r>
    </w:p>
    <w:p w:rsidR="00AD2E82" w:rsidRDefault="00AD2E82" w:rsidP="00AD2E82">
      <w:pPr>
        <w:pStyle w:val="Heading2"/>
      </w:pPr>
      <w:bookmarkStart w:id="42" w:name="_Toc8299920"/>
      <w:r w:rsidRPr="00AD2E82">
        <w:t xml:space="preserve">PSGAO </w:t>
      </w:r>
      <w:r>
        <w:t>General Subrecipient File</w:t>
      </w:r>
      <w:bookmarkEnd w:id="42"/>
    </w:p>
    <w:p w:rsidR="000918CE" w:rsidRPr="000918CE" w:rsidRDefault="00AD2E82" w:rsidP="000918CE">
      <w:pPr>
        <w:rPr>
          <w:sz w:val="24"/>
          <w:szCs w:val="24"/>
        </w:rPr>
      </w:pPr>
      <w:r>
        <w:tab/>
      </w:r>
      <w:r>
        <w:rPr>
          <w:sz w:val="24"/>
          <w:szCs w:val="24"/>
        </w:rPr>
        <w:t>The PSGAO will maintain a “General Subrecipient File” on each agency with an open subgrant and on prospective agencies, in the discretion of the Administrative Manager.</w:t>
      </w:r>
      <w:r w:rsidR="000918CE">
        <w:rPr>
          <w:sz w:val="24"/>
          <w:szCs w:val="24"/>
        </w:rPr>
        <w:t xml:space="preserve">  The General </w:t>
      </w:r>
      <w:r w:rsidR="000918CE" w:rsidRPr="000918CE">
        <w:rPr>
          <w:sz w:val="24"/>
          <w:szCs w:val="24"/>
        </w:rPr>
        <w:t xml:space="preserve">Subrecipient File shall contain items such as: </w:t>
      </w:r>
    </w:p>
    <w:p w:rsidR="000918CE" w:rsidRPr="000918CE" w:rsidRDefault="000918CE" w:rsidP="000918CE">
      <w:pPr>
        <w:pStyle w:val="ListParagraph"/>
        <w:numPr>
          <w:ilvl w:val="0"/>
          <w:numId w:val="17"/>
        </w:numPr>
        <w:rPr>
          <w:sz w:val="24"/>
          <w:szCs w:val="24"/>
        </w:rPr>
      </w:pPr>
      <w:r w:rsidRPr="000918CE">
        <w:rPr>
          <w:sz w:val="24"/>
          <w:szCs w:val="24"/>
        </w:rPr>
        <w:t>Current policy and procedure manuals</w:t>
      </w:r>
    </w:p>
    <w:p w:rsidR="000918CE" w:rsidRPr="000918CE" w:rsidRDefault="000918CE" w:rsidP="000918CE">
      <w:pPr>
        <w:pStyle w:val="ListParagraph"/>
        <w:numPr>
          <w:ilvl w:val="0"/>
          <w:numId w:val="17"/>
        </w:numPr>
        <w:rPr>
          <w:sz w:val="24"/>
          <w:szCs w:val="24"/>
        </w:rPr>
      </w:pPr>
      <w:r w:rsidRPr="000918CE">
        <w:rPr>
          <w:sz w:val="24"/>
          <w:szCs w:val="24"/>
        </w:rPr>
        <w:t>Financial policies</w:t>
      </w:r>
    </w:p>
    <w:p w:rsidR="000918CE" w:rsidRPr="000918CE" w:rsidRDefault="000918CE" w:rsidP="000918CE">
      <w:pPr>
        <w:pStyle w:val="ListParagraph"/>
        <w:numPr>
          <w:ilvl w:val="0"/>
          <w:numId w:val="17"/>
        </w:numPr>
        <w:rPr>
          <w:sz w:val="24"/>
          <w:szCs w:val="24"/>
        </w:rPr>
      </w:pPr>
      <w:r w:rsidRPr="000918CE">
        <w:rPr>
          <w:sz w:val="24"/>
          <w:szCs w:val="24"/>
        </w:rPr>
        <w:t>Other relevant policies (non-discrimination, confidentiality)</w:t>
      </w:r>
    </w:p>
    <w:p w:rsidR="000918CE" w:rsidRPr="000918CE" w:rsidRDefault="000918CE" w:rsidP="000918CE">
      <w:pPr>
        <w:pStyle w:val="ListParagraph"/>
        <w:numPr>
          <w:ilvl w:val="0"/>
          <w:numId w:val="17"/>
        </w:numPr>
        <w:rPr>
          <w:sz w:val="24"/>
          <w:szCs w:val="24"/>
        </w:rPr>
      </w:pPr>
      <w:r w:rsidRPr="000918CE">
        <w:rPr>
          <w:sz w:val="24"/>
          <w:szCs w:val="24"/>
        </w:rPr>
        <w:t>EEOP certifications</w:t>
      </w:r>
    </w:p>
    <w:p w:rsidR="000918CE" w:rsidRPr="000918CE" w:rsidRDefault="000918CE" w:rsidP="000918CE">
      <w:pPr>
        <w:pStyle w:val="ListParagraph"/>
        <w:numPr>
          <w:ilvl w:val="0"/>
          <w:numId w:val="17"/>
        </w:numPr>
        <w:rPr>
          <w:sz w:val="24"/>
          <w:szCs w:val="24"/>
        </w:rPr>
      </w:pPr>
      <w:r w:rsidRPr="000918CE">
        <w:rPr>
          <w:sz w:val="24"/>
          <w:szCs w:val="24"/>
        </w:rPr>
        <w:t xml:space="preserve">Employee handbook </w:t>
      </w:r>
    </w:p>
    <w:p w:rsidR="000918CE" w:rsidRPr="000918CE" w:rsidRDefault="000918CE" w:rsidP="000918CE">
      <w:pPr>
        <w:pStyle w:val="ListParagraph"/>
        <w:numPr>
          <w:ilvl w:val="0"/>
          <w:numId w:val="17"/>
        </w:numPr>
        <w:rPr>
          <w:sz w:val="24"/>
          <w:szCs w:val="24"/>
        </w:rPr>
      </w:pPr>
      <w:r w:rsidRPr="000918CE">
        <w:rPr>
          <w:sz w:val="24"/>
          <w:szCs w:val="24"/>
        </w:rPr>
        <w:t>Annual reports</w:t>
      </w:r>
    </w:p>
    <w:p w:rsidR="000918CE" w:rsidRPr="000918CE" w:rsidRDefault="000918CE" w:rsidP="000918CE">
      <w:pPr>
        <w:pStyle w:val="ListParagraph"/>
        <w:numPr>
          <w:ilvl w:val="0"/>
          <w:numId w:val="17"/>
        </w:numPr>
        <w:rPr>
          <w:sz w:val="24"/>
          <w:szCs w:val="24"/>
        </w:rPr>
      </w:pPr>
      <w:r w:rsidRPr="000918CE">
        <w:rPr>
          <w:sz w:val="24"/>
          <w:szCs w:val="24"/>
        </w:rPr>
        <w:t>Press clippings (positive and negative)</w:t>
      </w:r>
    </w:p>
    <w:p w:rsidR="000918CE" w:rsidRPr="000918CE" w:rsidRDefault="000918CE" w:rsidP="000918CE">
      <w:pPr>
        <w:pStyle w:val="ListParagraph"/>
        <w:numPr>
          <w:ilvl w:val="0"/>
          <w:numId w:val="17"/>
        </w:numPr>
        <w:rPr>
          <w:sz w:val="24"/>
          <w:szCs w:val="24"/>
        </w:rPr>
      </w:pPr>
      <w:r w:rsidRPr="000918CE">
        <w:rPr>
          <w:sz w:val="24"/>
          <w:szCs w:val="24"/>
        </w:rPr>
        <w:t>Notices of Noncompliance</w:t>
      </w:r>
    </w:p>
    <w:p w:rsidR="000918CE" w:rsidRDefault="000918CE" w:rsidP="000918CE">
      <w:pPr>
        <w:pStyle w:val="ListParagraph"/>
        <w:numPr>
          <w:ilvl w:val="0"/>
          <w:numId w:val="17"/>
        </w:numPr>
      </w:pPr>
      <w:r w:rsidRPr="000918CE">
        <w:rPr>
          <w:sz w:val="24"/>
          <w:szCs w:val="24"/>
        </w:rPr>
        <w:t>Corrective Action Plans</w:t>
      </w:r>
    </w:p>
    <w:p w:rsidR="000918CE" w:rsidRDefault="009345DC" w:rsidP="000918CE">
      <w:pPr>
        <w:rPr>
          <w:sz w:val="24"/>
          <w:szCs w:val="24"/>
        </w:rPr>
      </w:pPr>
      <w:r>
        <w:rPr>
          <w:sz w:val="24"/>
          <w:szCs w:val="24"/>
        </w:rPr>
        <w:lastRenderedPageBreak/>
        <w:tab/>
      </w:r>
      <w:r w:rsidR="000918CE">
        <w:rPr>
          <w:sz w:val="24"/>
          <w:szCs w:val="24"/>
        </w:rPr>
        <w:t xml:space="preserve">The General Subrecipient file will be available to the VOCA Advisory Committee to assist with project selection, aid risk assessment, and provide background </w:t>
      </w:r>
      <w:r>
        <w:rPr>
          <w:sz w:val="24"/>
          <w:szCs w:val="24"/>
        </w:rPr>
        <w:t xml:space="preserve">information </w:t>
      </w:r>
      <w:r w:rsidR="000918CE">
        <w:rPr>
          <w:sz w:val="24"/>
          <w:szCs w:val="24"/>
        </w:rPr>
        <w:t xml:space="preserve">on an organization a committee member may not be familiar with.  </w:t>
      </w:r>
    </w:p>
    <w:p w:rsidR="009F3337" w:rsidRPr="00AD2E82" w:rsidRDefault="000918CE" w:rsidP="000918CE">
      <w:r>
        <w:rPr>
          <w:sz w:val="24"/>
          <w:szCs w:val="24"/>
        </w:rPr>
        <w:tab/>
        <w:t xml:space="preserve">The Advisory Committee will be able to review Notices of Noncompliance to determine whether </w:t>
      </w:r>
      <w:r w:rsidR="009345DC">
        <w:rPr>
          <w:sz w:val="24"/>
          <w:szCs w:val="24"/>
        </w:rPr>
        <w:t>an</w:t>
      </w:r>
      <w:r>
        <w:rPr>
          <w:sz w:val="24"/>
          <w:szCs w:val="24"/>
        </w:rPr>
        <w:t xml:space="preserve"> organization complies with the federal rules and is responsive to PSGAO guidance.  </w:t>
      </w:r>
      <w:r w:rsidR="00FE07D1">
        <w:rPr>
          <w:sz w:val="24"/>
          <w:szCs w:val="24"/>
        </w:rPr>
        <w:t>The Advisory Committee will factor an organization’s past performance into their funding decisions in their discretion.</w:t>
      </w:r>
    </w:p>
    <w:p w:rsidR="009345DC" w:rsidRDefault="009345DC">
      <w:pPr>
        <w:rPr>
          <w:rFonts w:asciiTheme="majorHAnsi" w:eastAsiaTheme="majorEastAsia" w:hAnsiTheme="majorHAnsi" w:cstheme="majorBidi"/>
          <w:color w:val="2F5496" w:themeColor="accent1" w:themeShade="BF"/>
          <w:sz w:val="32"/>
          <w:szCs w:val="32"/>
        </w:rPr>
      </w:pPr>
      <w:r>
        <w:br w:type="page"/>
      </w:r>
    </w:p>
    <w:p w:rsidR="00C43943" w:rsidRDefault="00C43943" w:rsidP="00C43943">
      <w:pPr>
        <w:pStyle w:val="Heading1"/>
      </w:pPr>
      <w:bookmarkStart w:id="43" w:name="_Toc8299921"/>
      <w:r>
        <w:lastRenderedPageBreak/>
        <w:t>APPENDIX A: USEFUL LINKS</w:t>
      </w:r>
      <w:bookmarkEnd w:id="43"/>
    </w:p>
    <w:p w:rsidR="00C43943" w:rsidRPr="00C43943" w:rsidRDefault="00C43943" w:rsidP="00C43943">
      <w:r w:rsidRPr="00C43943">
        <w:t>Department of Justice Grants Financial Guide:</w:t>
      </w:r>
    </w:p>
    <w:p w:rsidR="00C43943" w:rsidRPr="00C43943" w:rsidRDefault="00F17CBE" w:rsidP="00C43943">
      <w:hyperlink r:id="rId16" w:history="1">
        <w:r w:rsidR="00C43943" w:rsidRPr="00C43943">
          <w:rPr>
            <w:rStyle w:val="Hyperlink"/>
          </w:rPr>
          <w:t>https://ojp.gov/financialguide/doj/GeneralInformation/index.htm</w:t>
        </w:r>
      </w:hyperlink>
    </w:p>
    <w:p w:rsidR="00C43943" w:rsidRPr="00C43943" w:rsidRDefault="00C43943" w:rsidP="00C43943">
      <w:r w:rsidRPr="00C43943">
        <w:tab/>
        <w:t>In PDF form:</w:t>
      </w:r>
    </w:p>
    <w:p w:rsidR="00C43943" w:rsidRDefault="00F17CBE" w:rsidP="00C43943">
      <w:pPr>
        <w:rPr>
          <w:rStyle w:val="Hyperlink"/>
        </w:rPr>
      </w:pPr>
      <w:hyperlink r:id="rId17" w:history="1">
        <w:r w:rsidR="00C43943" w:rsidRPr="00C43943">
          <w:rPr>
            <w:rStyle w:val="Hyperlink"/>
          </w:rPr>
          <w:t>https://ojp.gov/financialguide/doj/pdfs/DOJ_FinancialGuide.pdf</w:t>
        </w:r>
      </w:hyperlink>
    </w:p>
    <w:p w:rsidR="005865EE" w:rsidRDefault="005865EE" w:rsidP="00C43943"/>
    <w:p w:rsidR="005865EE" w:rsidRDefault="005865EE" w:rsidP="00C43943">
      <w:r>
        <w:t>DOJ Financial Guide Food Policy</w:t>
      </w:r>
      <w:r w:rsidR="00EE31D9">
        <w:t xml:space="preserve"> (</w:t>
      </w:r>
      <w:r w:rsidR="00FC5BA0">
        <w:t xml:space="preserve">Please review financial guide first) </w:t>
      </w:r>
    </w:p>
    <w:p w:rsidR="005865EE" w:rsidRPr="00C43943" w:rsidRDefault="00F17CBE" w:rsidP="00C43943">
      <w:hyperlink r:id="rId18" w:history="1">
        <w:r w:rsidR="005865EE" w:rsidRPr="00647388">
          <w:rPr>
            <w:rStyle w:val="Hyperlink"/>
          </w:rPr>
          <w:t>https://ojp.gov/financialguide/DOJ/pdfs/foodandbeverage.pdf</w:t>
        </w:r>
      </w:hyperlink>
      <w:r w:rsidR="005865EE">
        <w:t xml:space="preserve"> </w:t>
      </w:r>
    </w:p>
    <w:p w:rsidR="00C43943" w:rsidRPr="00C43943" w:rsidRDefault="00C43943" w:rsidP="00C43943"/>
    <w:p w:rsidR="00C43943" w:rsidRPr="00C43943" w:rsidRDefault="00C43943" w:rsidP="00C43943">
      <w:pPr>
        <w:rPr>
          <w:rFonts w:cstheme="minorHAnsi"/>
        </w:rPr>
      </w:pPr>
      <w:r w:rsidRPr="00C43943">
        <w:rPr>
          <w:rFonts w:cstheme="minorHAnsi"/>
        </w:rPr>
        <w:t>Grants and Agreements, 2 CFR 200</w:t>
      </w:r>
      <w:r w:rsidR="00CB172C">
        <w:rPr>
          <w:rFonts w:cstheme="minorHAnsi"/>
        </w:rPr>
        <w:t>:</w:t>
      </w:r>
    </w:p>
    <w:p w:rsidR="00C43943" w:rsidRDefault="00F17CBE" w:rsidP="00C43943">
      <w:pPr>
        <w:rPr>
          <w:rStyle w:val="Hyperlink"/>
          <w:rFonts w:cstheme="minorHAnsi"/>
        </w:rPr>
      </w:pPr>
      <w:hyperlink r:id="rId19" w:history="1">
        <w:r w:rsidR="00C43943" w:rsidRPr="00C43943">
          <w:rPr>
            <w:rStyle w:val="Hyperlink"/>
            <w:rFonts w:cstheme="minorHAnsi"/>
          </w:rPr>
          <w:t>https://ecfr.io/Title-02/cfr200_main</w:t>
        </w:r>
      </w:hyperlink>
    </w:p>
    <w:p w:rsidR="005B38CA" w:rsidRDefault="005B38CA" w:rsidP="00C43943">
      <w:pPr>
        <w:rPr>
          <w:rFonts w:cstheme="minorHAnsi"/>
          <w:u w:val="single"/>
        </w:rPr>
      </w:pPr>
    </w:p>
    <w:p w:rsidR="002F1F14" w:rsidRPr="005B38CA" w:rsidRDefault="005B38CA" w:rsidP="00C43943">
      <w:pPr>
        <w:rPr>
          <w:rFonts w:cstheme="minorHAnsi"/>
        </w:rPr>
      </w:pPr>
      <w:r w:rsidRPr="005B38CA">
        <w:rPr>
          <w:rFonts w:cstheme="minorHAnsi"/>
        </w:rPr>
        <w:t>28 C.F.R. 94:</w:t>
      </w:r>
    </w:p>
    <w:p w:rsidR="002F1F14" w:rsidRDefault="00F17CBE" w:rsidP="00C43943">
      <w:pPr>
        <w:rPr>
          <w:rFonts w:cstheme="minorHAnsi"/>
          <w:u w:val="single"/>
        </w:rPr>
      </w:pPr>
      <w:hyperlink r:id="rId20" w:history="1">
        <w:r w:rsidR="00D16AA0" w:rsidRPr="0056585A">
          <w:rPr>
            <w:rStyle w:val="Hyperlink"/>
            <w:rFonts w:cstheme="minorHAnsi"/>
          </w:rPr>
          <w:t>https://www.law.cornell.edu/cfr/text/28/part-94/subpart-B</w:t>
        </w:r>
      </w:hyperlink>
      <w:r w:rsidR="00D16AA0">
        <w:rPr>
          <w:rFonts w:cstheme="minorHAnsi"/>
          <w:u w:val="single"/>
        </w:rPr>
        <w:t xml:space="preserve"> </w:t>
      </w:r>
      <w:r w:rsidR="002F1F14">
        <w:rPr>
          <w:rFonts w:cstheme="minorHAnsi"/>
          <w:u w:val="single"/>
        </w:rPr>
        <w:br/>
      </w:r>
    </w:p>
    <w:p w:rsidR="00C43943" w:rsidRDefault="00C43943" w:rsidP="00C43943">
      <w:pPr>
        <w:rPr>
          <w:rFonts w:cstheme="minorHAnsi"/>
        </w:rPr>
      </w:pPr>
      <w:r w:rsidRPr="00C43943">
        <w:rPr>
          <w:rFonts w:cstheme="minorHAnsi"/>
        </w:rPr>
        <w:t>VOCA Guidelines</w:t>
      </w:r>
      <w:r w:rsidR="00CB172C">
        <w:rPr>
          <w:rFonts w:cstheme="minorHAnsi"/>
        </w:rPr>
        <w:t>:</w:t>
      </w:r>
    </w:p>
    <w:p w:rsidR="00C43943" w:rsidRDefault="00F17CBE" w:rsidP="00C43943">
      <w:pPr>
        <w:rPr>
          <w:rStyle w:val="Hyperlink"/>
          <w:rFonts w:cstheme="minorHAnsi"/>
        </w:rPr>
      </w:pPr>
      <w:hyperlink r:id="rId21" w:history="1">
        <w:r w:rsidR="00C43943" w:rsidRPr="00B541AD">
          <w:rPr>
            <w:rStyle w:val="Hyperlink"/>
            <w:rFonts w:cstheme="minorHAnsi"/>
          </w:rPr>
          <w:t>https://ojp.gov/ovc/voca/vaguide.htm</w:t>
        </w:r>
      </w:hyperlink>
    </w:p>
    <w:p w:rsidR="001D6581" w:rsidRDefault="001D6581" w:rsidP="00C43943">
      <w:pPr>
        <w:rPr>
          <w:rFonts w:cstheme="minorHAnsi"/>
        </w:rPr>
      </w:pPr>
    </w:p>
    <w:p w:rsidR="001D6581" w:rsidRDefault="001D6581" w:rsidP="00C43943">
      <w:pPr>
        <w:rPr>
          <w:rFonts w:cstheme="minorHAnsi"/>
        </w:rPr>
      </w:pPr>
      <w:r>
        <w:rPr>
          <w:rFonts w:cstheme="minorHAnsi"/>
        </w:rPr>
        <w:t>VOCA FAQ’s</w:t>
      </w:r>
    </w:p>
    <w:p w:rsidR="001D6581" w:rsidRDefault="00F17CBE" w:rsidP="00C43943">
      <w:pPr>
        <w:rPr>
          <w:rFonts w:cstheme="minorHAnsi"/>
        </w:rPr>
      </w:pPr>
      <w:hyperlink r:id="rId22" w:history="1">
        <w:r w:rsidR="001D6581" w:rsidRPr="00FD79D4">
          <w:rPr>
            <w:rStyle w:val="Hyperlink"/>
            <w:rFonts w:cstheme="minorHAnsi"/>
          </w:rPr>
          <w:t>https://www.ovc.gov/VOCA-Administrators/VOCA-Rule-FAQs-508.pdf</w:t>
        </w:r>
      </w:hyperlink>
    </w:p>
    <w:p w:rsidR="00CB172C" w:rsidRDefault="00CB172C" w:rsidP="00C43943">
      <w:pPr>
        <w:rPr>
          <w:rFonts w:cstheme="minorHAnsi"/>
        </w:rPr>
      </w:pPr>
    </w:p>
    <w:p w:rsidR="00CB172C" w:rsidRDefault="00CB172C" w:rsidP="00C43943">
      <w:pPr>
        <w:rPr>
          <w:rFonts w:cstheme="minorHAnsi"/>
        </w:rPr>
      </w:pPr>
      <w:r>
        <w:rPr>
          <w:rFonts w:cstheme="minorHAnsi"/>
        </w:rPr>
        <w:t>PSGAO:</w:t>
      </w:r>
    </w:p>
    <w:p w:rsidR="00CB172C" w:rsidRDefault="00F17CBE" w:rsidP="00C43943">
      <w:pPr>
        <w:rPr>
          <w:rFonts w:cstheme="minorHAnsi"/>
        </w:rPr>
      </w:pPr>
      <w:hyperlink r:id="rId23" w:history="1">
        <w:r w:rsidR="00CB172C" w:rsidRPr="00B541AD">
          <w:rPr>
            <w:rStyle w:val="Hyperlink"/>
            <w:rFonts w:cstheme="minorHAnsi"/>
          </w:rPr>
          <w:t>http://psga.ri.gov/</w:t>
        </w:r>
      </w:hyperlink>
    </w:p>
    <w:p w:rsidR="00C43943" w:rsidRPr="00C43943" w:rsidRDefault="00CB172C" w:rsidP="00C43943">
      <w:pPr>
        <w:rPr>
          <w:rFonts w:cstheme="minorHAnsi"/>
        </w:rPr>
      </w:pPr>
      <w:r>
        <w:rPr>
          <w:rFonts w:cstheme="minorHAnsi"/>
        </w:rPr>
        <w:tab/>
      </w:r>
      <w:r w:rsidR="00C43943" w:rsidRPr="00C43943">
        <w:rPr>
          <w:rFonts w:cstheme="minorHAnsi"/>
        </w:rPr>
        <w:t>PSGAO Statutory Authorization</w:t>
      </w:r>
      <w:r>
        <w:rPr>
          <w:rFonts w:cstheme="minorHAnsi"/>
        </w:rPr>
        <w:t>:</w:t>
      </w:r>
    </w:p>
    <w:p w:rsidR="00C43943" w:rsidRDefault="00F17CBE" w:rsidP="00C43943">
      <w:pPr>
        <w:rPr>
          <w:rFonts w:cstheme="minorHAnsi"/>
        </w:rPr>
      </w:pPr>
      <w:hyperlink r:id="rId24" w:history="1">
        <w:r w:rsidR="00C43943" w:rsidRPr="00B541AD">
          <w:rPr>
            <w:rStyle w:val="Hyperlink"/>
            <w:rFonts w:cstheme="minorHAnsi"/>
          </w:rPr>
          <w:t>http://webserver.rilin.state.ri.us/Statutes/TITLE42/42-26/INDEX.HTM</w:t>
        </w:r>
      </w:hyperlink>
    </w:p>
    <w:p w:rsidR="00C43943" w:rsidRPr="00C43943" w:rsidRDefault="00C43943" w:rsidP="00C43943">
      <w:pPr>
        <w:rPr>
          <w:rFonts w:cstheme="minorHAnsi"/>
        </w:rPr>
      </w:pPr>
    </w:p>
    <w:p w:rsidR="00C43943" w:rsidRPr="00C43943" w:rsidRDefault="00C43943" w:rsidP="00C43943">
      <w:pPr>
        <w:rPr>
          <w:rFonts w:cstheme="minorHAnsi"/>
        </w:rPr>
      </w:pPr>
      <w:r w:rsidRPr="00C43943">
        <w:rPr>
          <w:rFonts w:cstheme="minorHAnsi"/>
        </w:rPr>
        <w:t>Department of Public Safety Access to Public Records Policy</w:t>
      </w:r>
      <w:r w:rsidR="00CB172C">
        <w:rPr>
          <w:rFonts w:cstheme="minorHAnsi"/>
        </w:rPr>
        <w:t>:</w:t>
      </w:r>
    </w:p>
    <w:p w:rsidR="00C43943" w:rsidRDefault="00F17CBE" w:rsidP="00C43943">
      <w:pPr>
        <w:rPr>
          <w:rFonts w:cstheme="minorHAnsi"/>
        </w:rPr>
      </w:pPr>
      <w:hyperlink r:id="rId25" w:history="1">
        <w:r w:rsidR="00C43943" w:rsidRPr="00B541AD">
          <w:rPr>
            <w:rStyle w:val="Hyperlink"/>
            <w:rFonts w:cstheme="minorHAnsi"/>
          </w:rPr>
          <w:t>http://dps.ri.gov/documents/APRA/270-RICR-40-00-1-_SOS_Clean_Copy.pdf</w:t>
        </w:r>
      </w:hyperlink>
    </w:p>
    <w:p w:rsidR="00C43943" w:rsidRPr="00C43943" w:rsidRDefault="00C43943" w:rsidP="00C43943">
      <w:pPr>
        <w:rPr>
          <w:rFonts w:cstheme="minorHAnsi"/>
        </w:rPr>
      </w:pPr>
    </w:p>
    <w:p w:rsidR="00C43943" w:rsidRPr="00C43943" w:rsidRDefault="00C43943" w:rsidP="00C43943">
      <w:pPr>
        <w:rPr>
          <w:rFonts w:cstheme="minorHAnsi"/>
        </w:rPr>
      </w:pPr>
      <w:r w:rsidRPr="00C43943">
        <w:rPr>
          <w:rFonts w:cstheme="minorHAnsi"/>
        </w:rPr>
        <w:lastRenderedPageBreak/>
        <w:t>OJP Civil Rights Training:</w:t>
      </w:r>
    </w:p>
    <w:p w:rsidR="00C43943" w:rsidRDefault="00F17CBE" w:rsidP="00C43943">
      <w:pPr>
        <w:rPr>
          <w:rFonts w:cstheme="minorHAnsi"/>
        </w:rPr>
      </w:pPr>
      <w:hyperlink r:id="rId26" w:history="1">
        <w:r w:rsidR="00C43943" w:rsidRPr="00B541AD">
          <w:rPr>
            <w:rStyle w:val="Hyperlink"/>
            <w:rFonts w:cstheme="minorHAnsi"/>
          </w:rPr>
          <w:t>https://ojp.gov/about/ocr/ocr-training-videos/video-ocr-training.htm</w:t>
        </w:r>
      </w:hyperlink>
    </w:p>
    <w:p w:rsidR="00CB172C" w:rsidRDefault="00CB172C" w:rsidP="00C43943">
      <w:pPr>
        <w:rPr>
          <w:rFonts w:cstheme="minorHAnsi"/>
        </w:rPr>
      </w:pPr>
      <w:r>
        <w:rPr>
          <w:rFonts w:cstheme="minorHAnsi"/>
        </w:rPr>
        <w:tab/>
        <w:t>EEOP Tool:</w:t>
      </w:r>
    </w:p>
    <w:p w:rsidR="00CB172C" w:rsidRDefault="00F17CBE" w:rsidP="00C43943">
      <w:pPr>
        <w:rPr>
          <w:rFonts w:cstheme="minorHAnsi"/>
        </w:rPr>
      </w:pPr>
      <w:hyperlink r:id="rId27" w:history="1">
        <w:r w:rsidR="00CB172C" w:rsidRPr="00B541AD">
          <w:rPr>
            <w:rStyle w:val="Hyperlink"/>
            <w:rFonts w:cstheme="minorHAnsi"/>
          </w:rPr>
          <w:t>https://ojp.gov/about/ocr/eeop.htm</w:t>
        </w:r>
      </w:hyperlink>
    </w:p>
    <w:p w:rsidR="00CB172C" w:rsidRDefault="00CB172C" w:rsidP="00C43943">
      <w:pPr>
        <w:rPr>
          <w:rFonts w:cstheme="minorHAnsi"/>
        </w:rPr>
      </w:pPr>
    </w:p>
    <w:p w:rsidR="00C43943" w:rsidRDefault="00C43943" w:rsidP="00C43943">
      <w:pPr>
        <w:rPr>
          <w:rFonts w:cstheme="minorHAnsi"/>
        </w:rPr>
      </w:pPr>
    </w:p>
    <w:p w:rsidR="00C43943" w:rsidRPr="00C43943" w:rsidRDefault="00C43943" w:rsidP="00C43943">
      <w:pPr>
        <w:rPr>
          <w:rFonts w:cstheme="minorHAnsi"/>
        </w:rPr>
      </w:pPr>
    </w:p>
    <w:p w:rsidR="00A7738D" w:rsidRPr="00D92174" w:rsidRDefault="00A7738D" w:rsidP="00D92174">
      <w:pPr>
        <w:rPr>
          <w:rFonts w:cstheme="minorHAnsi"/>
          <w:b/>
          <w:sz w:val="24"/>
          <w:szCs w:val="24"/>
        </w:rPr>
      </w:pPr>
    </w:p>
    <w:sectPr w:rsidR="00A7738D" w:rsidRPr="00D92174" w:rsidSect="00FB148A">
      <w:headerReference w:type="default" r:id="rId28"/>
      <w:footerReference w:type="default" r:id="rId2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8E3" w:rsidRDefault="00B918E3" w:rsidP="006A2A32">
      <w:pPr>
        <w:spacing w:after="0" w:line="240" w:lineRule="auto"/>
      </w:pPr>
      <w:r>
        <w:separator/>
      </w:r>
    </w:p>
  </w:endnote>
  <w:endnote w:type="continuationSeparator" w:id="0">
    <w:p w:rsidR="00B918E3" w:rsidRDefault="00B918E3" w:rsidP="006A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681263"/>
      <w:docPartObj>
        <w:docPartGallery w:val="Page Numbers (Bottom of Page)"/>
        <w:docPartUnique/>
      </w:docPartObj>
    </w:sdtPr>
    <w:sdtEndPr>
      <w:rPr>
        <w:noProof/>
      </w:rPr>
    </w:sdtEndPr>
    <w:sdtContent>
      <w:p w:rsidR="00B918E3" w:rsidRDefault="00B918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918E3" w:rsidRPr="00A2410C" w:rsidRDefault="00B918E3" w:rsidP="00A2410C">
    <w:pPr>
      <w:pStyle w:val="Footer"/>
      <w:jc w:val="center"/>
      <w:rPr>
        <w:b/>
        <w:u w:val="single"/>
      </w:rPr>
    </w:pPr>
    <w:r w:rsidRPr="00A2410C">
      <w:rPr>
        <w:b/>
        <w:u w:val="single"/>
      </w:rPr>
      <w:t>VOCA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8E3" w:rsidRDefault="00B918E3" w:rsidP="006A2A32">
      <w:pPr>
        <w:spacing w:after="0" w:line="240" w:lineRule="auto"/>
      </w:pPr>
      <w:r>
        <w:separator/>
      </w:r>
    </w:p>
  </w:footnote>
  <w:footnote w:type="continuationSeparator" w:id="0">
    <w:p w:rsidR="00B918E3" w:rsidRDefault="00B918E3" w:rsidP="006A2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8E3" w:rsidRPr="00061279" w:rsidRDefault="00B918E3" w:rsidP="006A2A32">
    <w:pPr>
      <w:pStyle w:val="Header"/>
      <w:jc w:val="center"/>
      <w:rPr>
        <w:b/>
        <w:u w:val="single"/>
      </w:rPr>
    </w:pPr>
    <w:r w:rsidRPr="00061279">
      <w:rPr>
        <w:b/>
        <w:u w:val="single"/>
      </w:rPr>
      <w:t>The State of Rhode Island – Public Safety Grant Administration</w:t>
    </w:r>
    <w:r>
      <w:rPr>
        <w:b/>
        <w:u w:val="single"/>
      </w:rPr>
      <w:t xml:space="preserve"> Office</w:t>
    </w:r>
  </w:p>
  <w:p w:rsidR="00B918E3" w:rsidRDefault="00B91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E5F"/>
    <w:multiLevelType w:val="hybridMultilevel"/>
    <w:tmpl w:val="3B92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70D0F"/>
    <w:multiLevelType w:val="hybridMultilevel"/>
    <w:tmpl w:val="5D76E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E675C"/>
    <w:multiLevelType w:val="hybridMultilevel"/>
    <w:tmpl w:val="2794A7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0AA3ECA"/>
    <w:multiLevelType w:val="hybridMultilevel"/>
    <w:tmpl w:val="0CA8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93EC0"/>
    <w:multiLevelType w:val="hybridMultilevel"/>
    <w:tmpl w:val="310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C2AEE"/>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3AF74F82"/>
    <w:multiLevelType w:val="hybridMultilevel"/>
    <w:tmpl w:val="E56CE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FE4B9D"/>
    <w:multiLevelType w:val="hybridMultilevel"/>
    <w:tmpl w:val="1048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C2109"/>
    <w:multiLevelType w:val="hybridMultilevel"/>
    <w:tmpl w:val="382E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14F7F"/>
    <w:multiLevelType w:val="hybridMultilevel"/>
    <w:tmpl w:val="E57C83F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0" w15:restartNumberingAfterBreak="0">
    <w:nsid w:val="57C45400"/>
    <w:multiLevelType w:val="hybridMultilevel"/>
    <w:tmpl w:val="B3C0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B0307"/>
    <w:multiLevelType w:val="hybridMultilevel"/>
    <w:tmpl w:val="BAEA1430"/>
    <w:lvl w:ilvl="0" w:tplc="04090001">
      <w:start w:val="1"/>
      <w:numFmt w:val="bullet"/>
      <w:lvlText w:val=""/>
      <w:lvlJc w:val="left"/>
      <w:pPr>
        <w:ind w:left="720" w:hanging="360"/>
      </w:pPr>
      <w:rPr>
        <w:rFonts w:ascii="Symbol" w:hAnsi="Symbol" w:hint="default"/>
      </w:rPr>
    </w:lvl>
    <w:lvl w:ilvl="1" w:tplc="E064E4B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32658"/>
    <w:multiLevelType w:val="hybridMultilevel"/>
    <w:tmpl w:val="8A76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A450E"/>
    <w:multiLevelType w:val="hybridMultilevel"/>
    <w:tmpl w:val="D8968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0F548C"/>
    <w:multiLevelType w:val="hybridMultilevel"/>
    <w:tmpl w:val="4D46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17726A"/>
    <w:multiLevelType w:val="hybridMultilevel"/>
    <w:tmpl w:val="57363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357691"/>
    <w:multiLevelType w:val="hybridMultilevel"/>
    <w:tmpl w:val="CB16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6"/>
  </w:num>
  <w:num w:numId="5">
    <w:abstractNumId w:val="14"/>
  </w:num>
  <w:num w:numId="6">
    <w:abstractNumId w:val="4"/>
  </w:num>
  <w:num w:numId="7">
    <w:abstractNumId w:val="12"/>
  </w:num>
  <w:num w:numId="8">
    <w:abstractNumId w:val="2"/>
  </w:num>
  <w:num w:numId="9">
    <w:abstractNumId w:val="5"/>
  </w:num>
  <w:num w:numId="10">
    <w:abstractNumId w:val="1"/>
  </w:num>
  <w:num w:numId="11">
    <w:abstractNumId w:val="10"/>
  </w:num>
  <w:num w:numId="12">
    <w:abstractNumId w:val="13"/>
  </w:num>
  <w:num w:numId="13">
    <w:abstractNumId w:val="15"/>
  </w:num>
  <w:num w:numId="14">
    <w:abstractNumId w:val="7"/>
  </w:num>
  <w:num w:numId="15">
    <w:abstractNumId w:val="0"/>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32"/>
    <w:rsid w:val="00002D26"/>
    <w:rsid w:val="000043F1"/>
    <w:rsid w:val="00005FEB"/>
    <w:rsid w:val="00026602"/>
    <w:rsid w:val="00027781"/>
    <w:rsid w:val="00067855"/>
    <w:rsid w:val="00083E2F"/>
    <w:rsid w:val="000918CE"/>
    <w:rsid w:val="00096E35"/>
    <w:rsid w:val="00097B34"/>
    <w:rsid w:val="000C0F6C"/>
    <w:rsid w:val="000C6D3D"/>
    <w:rsid w:val="000D0747"/>
    <w:rsid w:val="00114054"/>
    <w:rsid w:val="00157000"/>
    <w:rsid w:val="00167AAB"/>
    <w:rsid w:val="00190285"/>
    <w:rsid w:val="001945ED"/>
    <w:rsid w:val="001B6080"/>
    <w:rsid w:val="001D6581"/>
    <w:rsid w:val="001E03E9"/>
    <w:rsid w:val="001E0E66"/>
    <w:rsid w:val="001F1505"/>
    <w:rsid w:val="001F4493"/>
    <w:rsid w:val="002541D3"/>
    <w:rsid w:val="00260281"/>
    <w:rsid w:val="0027188F"/>
    <w:rsid w:val="002A1D9A"/>
    <w:rsid w:val="002B29F4"/>
    <w:rsid w:val="002C784F"/>
    <w:rsid w:val="002D4481"/>
    <w:rsid w:val="002D6086"/>
    <w:rsid w:val="002F1F14"/>
    <w:rsid w:val="002F36AE"/>
    <w:rsid w:val="003110B7"/>
    <w:rsid w:val="00314595"/>
    <w:rsid w:val="00320158"/>
    <w:rsid w:val="003207E9"/>
    <w:rsid w:val="00331B81"/>
    <w:rsid w:val="00334D2D"/>
    <w:rsid w:val="00340A4A"/>
    <w:rsid w:val="00343259"/>
    <w:rsid w:val="003438CD"/>
    <w:rsid w:val="003475AD"/>
    <w:rsid w:val="00353A82"/>
    <w:rsid w:val="003819BF"/>
    <w:rsid w:val="003E70D4"/>
    <w:rsid w:val="00414376"/>
    <w:rsid w:val="004270D0"/>
    <w:rsid w:val="004300BD"/>
    <w:rsid w:val="0043557A"/>
    <w:rsid w:val="00437089"/>
    <w:rsid w:val="004449AD"/>
    <w:rsid w:val="00495EBC"/>
    <w:rsid w:val="004A3892"/>
    <w:rsid w:val="004A5060"/>
    <w:rsid w:val="004B0C68"/>
    <w:rsid w:val="004B4616"/>
    <w:rsid w:val="004C1D2D"/>
    <w:rsid w:val="004C4620"/>
    <w:rsid w:val="004C4D79"/>
    <w:rsid w:val="004F4B2A"/>
    <w:rsid w:val="004F6177"/>
    <w:rsid w:val="00514090"/>
    <w:rsid w:val="00516C09"/>
    <w:rsid w:val="00524D57"/>
    <w:rsid w:val="00531D0A"/>
    <w:rsid w:val="00547520"/>
    <w:rsid w:val="005615DB"/>
    <w:rsid w:val="0056697B"/>
    <w:rsid w:val="00572F15"/>
    <w:rsid w:val="005865EE"/>
    <w:rsid w:val="00586CF6"/>
    <w:rsid w:val="0059178F"/>
    <w:rsid w:val="005A0FDC"/>
    <w:rsid w:val="005A6809"/>
    <w:rsid w:val="005A6A4E"/>
    <w:rsid w:val="005B0048"/>
    <w:rsid w:val="005B38CA"/>
    <w:rsid w:val="005B7FC2"/>
    <w:rsid w:val="005F3FB8"/>
    <w:rsid w:val="005F7F18"/>
    <w:rsid w:val="006015DF"/>
    <w:rsid w:val="006034D7"/>
    <w:rsid w:val="00612C56"/>
    <w:rsid w:val="0061334F"/>
    <w:rsid w:val="00624A6A"/>
    <w:rsid w:val="00660F50"/>
    <w:rsid w:val="00663881"/>
    <w:rsid w:val="00670C80"/>
    <w:rsid w:val="0067274D"/>
    <w:rsid w:val="00676C82"/>
    <w:rsid w:val="00682A9B"/>
    <w:rsid w:val="006A2A32"/>
    <w:rsid w:val="006A3F3D"/>
    <w:rsid w:val="006A6C39"/>
    <w:rsid w:val="006B4DBE"/>
    <w:rsid w:val="006E6EAE"/>
    <w:rsid w:val="006F35F7"/>
    <w:rsid w:val="00714A0A"/>
    <w:rsid w:val="00725136"/>
    <w:rsid w:val="00733AC8"/>
    <w:rsid w:val="007451B5"/>
    <w:rsid w:val="0074616C"/>
    <w:rsid w:val="00756CC2"/>
    <w:rsid w:val="007955FA"/>
    <w:rsid w:val="007B2ACF"/>
    <w:rsid w:val="007B5CD1"/>
    <w:rsid w:val="007C08CE"/>
    <w:rsid w:val="007E7235"/>
    <w:rsid w:val="007F1A00"/>
    <w:rsid w:val="008032D4"/>
    <w:rsid w:val="00816E35"/>
    <w:rsid w:val="00847FCC"/>
    <w:rsid w:val="0085503E"/>
    <w:rsid w:val="00891ADF"/>
    <w:rsid w:val="00895430"/>
    <w:rsid w:val="00895A8A"/>
    <w:rsid w:val="00897689"/>
    <w:rsid w:val="008A1CC5"/>
    <w:rsid w:val="008A64E3"/>
    <w:rsid w:val="008B5149"/>
    <w:rsid w:val="008C6BEC"/>
    <w:rsid w:val="008D34A5"/>
    <w:rsid w:val="008D579D"/>
    <w:rsid w:val="008D58C2"/>
    <w:rsid w:val="008D788B"/>
    <w:rsid w:val="008E52DC"/>
    <w:rsid w:val="008F38CC"/>
    <w:rsid w:val="008F3FFB"/>
    <w:rsid w:val="00924F15"/>
    <w:rsid w:val="009345DC"/>
    <w:rsid w:val="0094265C"/>
    <w:rsid w:val="009517D3"/>
    <w:rsid w:val="009604AA"/>
    <w:rsid w:val="00986817"/>
    <w:rsid w:val="00995DE1"/>
    <w:rsid w:val="009A20C4"/>
    <w:rsid w:val="009A29CC"/>
    <w:rsid w:val="009B62A5"/>
    <w:rsid w:val="009C3E35"/>
    <w:rsid w:val="009E1CD6"/>
    <w:rsid w:val="009E5002"/>
    <w:rsid w:val="009E5D60"/>
    <w:rsid w:val="009E7EC3"/>
    <w:rsid w:val="009F0F03"/>
    <w:rsid w:val="009F3337"/>
    <w:rsid w:val="009F67A3"/>
    <w:rsid w:val="00A2410C"/>
    <w:rsid w:val="00A35B83"/>
    <w:rsid w:val="00A7185B"/>
    <w:rsid w:val="00A756CA"/>
    <w:rsid w:val="00A7738D"/>
    <w:rsid w:val="00A81A9A"/>
    <w:rsid w:val="00A90C34"/>
    <w:rsid w:val="00AA349C"/>
    <w:rsid w:val="00AA4AAA"/>
    <w:rsid w:val="00AB389A"/>
    <w:rsid w:val="00AD2E82"/>
    <w:rsid w:val="00AE7478"/>
    <w:rsid w:val="00AF08AB"/>
    <w:rsid w:val="00B17411"/>
    <w:rsid w:val="00B237B3"/>
    <w:rsid w:val="00B32272"/>
    <w:rsid w:val="00B50E7C"/>
    <w:rsid w:val="00B51550"/>
    <w:rsid w:val="00B52E1B"/>
    <w:rsid w:val="00B74B1E"/>
    <w:rsid w:val="00B86AA0"/>
    <w:rsid w:val="00B918E3"/>
    <w:rsid w:val="00B94163"/>
    <w:rsid w:val="00B97F87"/>
    <w:rsid w:val="00BB0A85"/>
    <w:rsid w:val="00BC7CBD"/>
    <w:rsid w:val="00BD1E68"/>
    <w:rsid w:val="00BD59F8"/>
    <w:rsid w:val="00BE5525"/>
    <w:rsid w:val="00BF3784"/>
    <w:rsid w:val="00C00A32"/>
    <w:rsid w:val="00C00BF8"/>
    <w:rsid w:val="00C349E9"/>
    <w:rsid w:val="00C43943"/>
    <w:rsid w:val="00C65F27"/>
    <w:rsid w:val="00CB172C"/>
    <w:rsid w:val="00CB33D7"/>
    <w:rsid w:val="00CD45A7"/>
    <w:rsid w:val="00D16AA0"/>
    <w:rsid w:val="00D17C55"/>
    <w:rsid w:val="00D245E0"/>
    <w:rsid w:val="00D24FE1"/>
    <w:rsid w:val="00D27A2E"/>
    <w:rsid w:val="00D32361"/>
    <w:rsid w:val="00D601CC"/>
    <w:rsid w:val="00D61A73"/>
    <w:rsid w:val="00D63C29"/>
    <w:rsid w:val="00D74D72"/>
    <w:rsid w:val="00D91DB6"/>
    <w:rsid w:val="00D92174"/>
    <w:rsid w:val="00DA5648"/>
    <w:rsid w:val="00DB0D32"/>
    <w:rsid w:val="00DB3A31"/>
    <w:rsid w:val="00DD4E6E"/>
    <w:rsid w:val="00DF1623"/>
    <w:rsid w:val="00E13031"/>
    <w:rsid w:val="00E15889"/>
    <w:rsid w:val="00E17F26"/>
    <w:rsid w:val="00E209EA"/>
    <w:rsid w:val="00E24DB3"/>
    <w:rsid w:val="00E25BD3"/>
    <w:rsid w:val="00E278CD"/>
    <w:rsid w:val="00E27AE0"/>
    <w:rsid w:val="00E34C64"/>
    <w:rsid w:val="00E41C50"/>
    <w:rsid w:val="00E66686"/>
    <w:rsid w:val="00E80599"/>
    <w:rsid w:val="00E933C6"/>
    <w:rsid w:val="00E9664E"/>
    <w:rsid w:val="00EB0084"/>
    <w:rsid w:val="00EC0934"/>
    <w:rsid w:val="00EC587D"/>
    <w:rsid w:val="00EC5C73"/>
    <w:rsid w:val="00EE31D9"/>
    <w:rsid w:val="00EE3A66"/>
    <w:rsid w:val="00F17CBE"/>
    <w:rsid w:val="00F353E8"/>
    <w:rsid w:val="00F37978"/>
    <w:rsid w:val="00F50EC3"/>
    <w:rsid w:val="00F86E38"/>
    <w:rsid w:val="00F9409A"/>
    <w:rsid w:val="00FB148A"/>
    <w:rsid w:val="00FC03A8"/>
    <w:rsid w:val="00FC5BA0"/>
    <w:rsid w:val="00FE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9FE4"/>
  <w15:chartTrackingRefBased/>
  <w15:docId w15:val="{E522EC15-68FA-4829-AC45-675C0C85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1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14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6A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7274D"/>
    <w:pPr>
      <w:framePr w:w="7920" w:h="1980" w:hRule="exact" w:hSpace="180" w:wrap="auto" w:hAnchor="page" w:xAlign="center" w:yAlign="bottom"/>
      <w:spacing w:after="0" w:line="240" w:lineRule="auto"/>
      <w:ind w:left="2880"/>
    </w:pPr>
    <w:rPr>
      <w:rFonts w:asciiTheme="majorHAnsi" w:eastAsiaTheme="majorEastAsia" w:hAnsiTheme="majorHAnsi" w:cstheme="majorBidi"/>
      <w:b/>
      <w:sz w:val="32"/>
      <w:szCs w:val="24"/>
    </w:rPr>
  </w:style>
  <w:style w:type="paragraph" w:styleId="Header">
    <w:name w:val="header"/>
    <w:basedOn w:val="Normal"/>
    <w:link w:val="HeaderChar"/>
    <w:uiPriority w:val="99"/>
    <w:unhideWhenUsed/>
    <w:rsid w:val="006A2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A32"/>
  </w:style>
  <w:style w:type="paragraph" w:styleId="Footer">
    <w:name w:val="footer"/>
    <w:basedOn w:val="Normal"/>
    <w:link w:val="FooterChar"/>
    <w:uiPriority w:val="99"/>
    <w:unhideWhenUsed/>
    <w:rsid w:val="006A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A32"/>
  </w:style>
  <w:style w:type="paragraph" w:styleId="ListParagraph">
    <w:name w:val="List Paragraph"/>
    <w:basedOn w:val="Normal"/>
    <w:uiPriority w:val="34"/>
    <w:qFormat/>
    <w:rsid w:val="00B97F87"/>
    <w:pPr>
      <w:ind w:left="720"/>
      <w:contextualSpacing/>
    </w:pPr>
  </w:style>
  <w:style w:type="paragraph" w:customStyle="1" w:styleId="numbertext">
    <w:name w:val="number text"/>
    <w:rsid w:val="008D34A5"/>
    <w:pPr>
      <w:spacing w:after="120" w:line="240" w:lineRule="auto"/>
      <w:ind w:left="634"/>
    </w:pPr>
    <w:rPr>
      <w:rFonts w:ascii="Times New Roman" w:eastAsia="Times New Roman" w:hAnsi="Times New Roman" w:cs="Times New Roman"/>
      <w:noProof/>
      <w:sz w:val="24"/>
      <w:szCs w:val="20"/>
    </w:rPr>
  </w:style>
  <w:style w:type="paragraph" w:styleId="NormalWeb">
    <w:name w:val="Normal (Web)"/>
    <w:basedOn w:val="Normal"/>
    <w:uiPriority w:val="99"/>
    <w:semiHidden/>
    <w:unhideWhenUsed/>
    <w:rsid w:val="00A773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9217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92174"/>
    <w:pPr>
      <w:outlineLvl w:val="9"/>
    </w:pPr>
  </w:style>
  <w:style w:type="paragraph" w:styleId="TOC2">
    <w:name w:val="toc 2"/>
    <w:basedOn w:val="Normal"/>
    <w:next w:val="Normal"/>
    <w:autoRedefine/>
    <w:uiPriority w:val="39"/>
    <w:unhideWhenUsed/>
    <w:rsid w:val="00D92174"/>
    <w:pPr>
      <w:spacing w:after="100"/>
      <w:ind w:left="220"/>
    </w:pPr>
    <w:rPr>
      <w:rFonts w:eastAsiaTheme="minorEastAsia" w:cs="Times New Roman"/>
    </w:rPr>
  </w:style>
  <w:style w:type="paragraph" w:styleId="TOC1">
    <w:name w:val="toc 1"/>
    <w:basedOn w:val="Normal"/>
    <w:next w:val="Normal"/>
    <w:autoRedefine/>
    <w:uiPriority w:val="39"/>
    <w:unhideWhenUsed/>
    <w:rsid w:val="00D92174"/>
    <w:pPr>
      <w:spacing w:after="100"/>
    </w:pPr>
    <w:rPr>
      <w:rFonts w:eastAsiaTheme="minorEastAsia" w:cs="Times New Roman"/>
    </w:rPr>
  </w:style>
  <w:style w:type="paragraph" w:styleId="TOC3">
    <w:name w:val="toc 3"/>
    <w:basedOn w:val="Normal"/>
    <w:next w:val="Normal"/>
    <w:autoRedefine/>
    <w:uiPriority w:val="39"/>
    <w:unhideWhenUsed/>
    <w:rsid w:val="00D92174"/>
    <w:pPr>
      <w:spacing w:after="100"/>
      <w:ind w:left="440"/>
    </w:pPr>
    <w:rPr>
      <w:rFonts w:eastAsiaTheme="minorEastAsia" w:cs="Times New Roman"/>
    </w:rPr>
  </w:style>
  <w:style w:type="paragraph" w:styleId="NoSpacing">
    <w:name w:val="No Spacing"/>
    <w:link w:val="NoSpacingChar"/>
    <w:uiPriority w:val="1"/>
    <w:qFormat/>
    <w:rsid w:val="00FB148A"/>
    <w:pPr>
      <w:spacing w:after="0" w:line="240" w:lineRule="auto"/>
    </w:pPr>
    <w:rPr>
      <w:rFonts w:eastAsiaTheme="minorEastAsia"/>
    </w:rPr>
  </w:style>
  <w:style w:type="character" w:customStyle="1" w:styleId="NoSpacingChar">
    <w:name w:val="No Spacing Char"/>
    <w:basedOn w:val="DefaultParagraphFont"/>
    <w:link w:val="NoSpacing"/>
    <w:uiPriority w:val="1"/>
    <w:rsid w:val="00FB148A"/>
    <w:rPr>
      <w:rFonts w:eastAsiaTheme="minorEastAsia"/>
    </w:rPr>
  </w:style>
  <w:style w:type="character" w:styleId="Hyperlink">
    <w:name w:val="Hyperlink"/>
    <w:basedOn w:val="DefaultParagraphFont"/>
    <w:uiPriority w:val="99"/>
    <w:unhideWhenUsed/>
    <w:rsid w:val="00FB148A"/>
    <w:rPr>
      <w:color w:val="0563C1" w:themeColor="hyperlink"/>
      <w:u w:val="single"/>
    </w:rPr>
  </w:style>
  <w:style w:type="character" w:customStyle="1" w:styleId="Heading2Char">
    <w:name w:val="Heading 2 Char"/>
    <w:basedOn w:val="DefaultParagraphFont"/>
    <w:link w:val="Heading2"/>
    <w:uiPriority w:val="9"/>
    <w:rsid w:val="00FB14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86AA0"/>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B0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048"/>
    <w:rPr>
      <w:rFonts w:ascii="Segoe UI" w:hAnsi="Segoe UI" w:cs="Segoe UI"/>
      <w:sz w:val="18"/>
      <w:szCs w:val="18"/>
    </w:rPr>
  </w:style>
  <w:style w:type="character" w:styleId="UnresolvedMention">
    <w:name w:val="Unresolved Mention"/>
    <w:basedOn w:val="DefaultParagraphFont"/>
    <w:uiPriority w:val="99"/>
    <w:semiHidden/>
    <w:unhideWhenUsed/>
    <w:rsid w:val="00D601CC"/>
    <w:rPr>
      <w:color w:val="605E5C"/>
      <w:shd w:val="clear" w:color="auto" w:fill="E1DFDD"/>
    </w:rPr>
  </w:style>
  <w:style w:type="character" w:styleId="FollowedHyperlink">
    <w:name w:val="FollowedHyperlink"/>
    <w:basedOn w:val="DefaultParagraphFont"/>
    <w:uiPriority w:val="99"/>
    <w:semiHidden/>
    <w:unhideWhenUsed/>
    <w:rsid w:val="00C439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46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el.Hogan@RIPSGA.gov" TargetMode="External"/><Relationship Id="rId18" Type="http://schemas.openxmlformats.org/officeDocument/2006/relationships/hyperlink" Target="https://ojp.gov/financialguide/DOJ/pdfs/foodandbeverage.pdf" TargetMode="External"/><Relationship Id="rId26" Type="http://schemas.openxmlformats.org/officeDocument/2006/relationships/hyperlink" Target="https://ojp.gov/about/ocr/ocr-training-videos/video-ocr-training.htm" TargetMode="External"/><Relationship Id="rId3" Type="http://schemas.openxmlformats.org/officeDocument/2006/relationships/numbering" Target="numbering.xml"/><Relationship Id="rId21" Type="http://schemas.openxmlformats.org/officeDocument/2006/relationships/hyperlink" Target="https://ojp.gov/ovc/voca/vaguide.htm" TargetMode="External"/><Relationship Id="rId7" Type="http://schemas.openxmlformats.org/officeDocument/2006/relationships/footnotes" Target="footnotes.xml"/><Relationship Id="rId12" Type="http://schemas.openxmlformats.org/officeDocument/2006/relationships/hyperlink" Target="mailto:Bradley.Orleck@RIPSGA.gov" TargetMode="External"/><Relationship Id="rId17" Type="http://schemas.openxmlformats.org/officeDocument/2006/relationships/hyperlink" Target="https://ojp.gov/financialguide/doj/pdfs/DOJ_FinancialGuide.pdf" TargetMode="External"/><Relationship Id="rId25" Type="http://schemas.openxmlformats.org/officeDocument/2006/relationships/hyperlink" Target="http://dps.ri.gov/documents/APRA/270-RICR-40-00-1-_SOS_Clean_Copy.pdf" TargetMode="External"/><Relationship Id="rId2" Type="http://schemas.openxmlformats.org/officeDocument/2006/relationships/customXml" Target="../customXml/item2.xml"/><Relationship Id="rId16" Type="http://schemas.openxmlformats.org/officeDocument/2006/relationships/hyperlink" Target="https://ojp.gov/financialguide/doj/GeneralInformation/index.htm" TargetMode="External"/><Relationship Id="rId20" Type="http://schemas.openxmlformats.org/officeDocument/2006/relationships/hyperlink" Target="https://www.law.cornell.edu/cfr/text/28/part-94/subpart-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nise.Fernandes@RIPSGA.gov" TargetMode="External"/><Relationship Id="rId24" Type="http://schemas.openxmlformats.org/officeDocument/2006/relationships/hyperlink" Target="http://webserver.rilin.state.ri.us/Statutes/TITLE42/42-26/INDEX.HTM" TargetMode="External"/><Relationship Id="rId5" Type="http://schemas.openxmlformats.org/officeDocument/2006/relationships/settings" Target="settings.xml"/><Relationship Id="rId15" Type="http://schemas.openxmlformats.org/officeDocument/2006/relationships/hyperlink" Target="mailto:Bradley.Orleck@RIPSGA.gov" TargetMode="External"/><Relationship Id="rId23" Type="http://schemas.openxmlformats.org/officeDocument/2006/relationships/hyperlink" Target="http://psga.ri.gov/" TargetMode="External"/><Relationship Id="rId28" Type="http://schemas.openxmlformats.org/officeDocument/2006/relationships/header" Target="header1.xml"/><Relationship Id="rId10" Type="http://schemas.openxmlformats.org/officeDocument/2006/relationships/hyperlink" Target="mailto:Michael.Hogan@RIPSGA.gov" TargetMode="External"/><Relationship Id="rId19" Type="http://schemas.openxmlformats.org/officeDocument/2006/relationships/hyperlink" Target="https://ecfr.io/Title-02/cfr200_mai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enise.Fernandes@RIPSGA.gov" TargetMode="External"/><Relationship Id="rId22" Type="http://schemas.openxmlformats.org/officeDocument/2006/relationships/hyperlink" Target="https://www.ovc.gov/VOCA-Administrators/VOCA-Rule-FAQs-508.pdf" TargetMode="External"/><Relationship Id="rId27" Type="http://schemas.openxmlformats.org/officeDocument/2006/relationships/hyperlink" Target="https://ojp.gov/about/ocr/eeop.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Bradley.Orleck@RISP.gov</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016A3F-5D9F-4B35-812B-9026572A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CFA75E0B.dotm</Template>
  <TotalTime>0</TotalTime>
  <Pages>25</Pages>
  <Words>7523</Words>
  <Characters>42884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Victims of Crime Act
SUBGRANT MANUAL</vt:lpstr>
    </vt:vector>
  </TitlesOfParts>
  <Company/>
  <LinksUpToDate>false</LinksUpToDate>
  <CharactersWithSpaces>50307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SUBGRANT MANUAL</dc:title>
  <dc:subject/>
  <dc:creator>Orleck, Bradley</dc:creator>
  <cp:keywords/>
  <dc:description/>
  <cp:lastModifiedBy>Orleck, Bradley</cp:lastModifiedBy>
  <cp:revision>2</cp:revision>
  <cp:lastPrinted>2019-05-09T17:18:00Z</cp:lastPrinted>
  <dcterms:created xsi:type="dcterms:W3CDTF">2019-05-09T17:18:00Z</dcterms:created>
  <dcterms:modified xsi:type="dcterms:W3CDTF">2019-05-09T17:18:00Z</dcterms:modified>
</cp:coreProperties>
</file>